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61" w:rsidRPr="00FF0A61" w:rsidRDefault="00FF0A61" w:rsidP="00FF0A61">
      <w:pPr>
        <w:pStyle w:val="1"/>
        <w:ind w:left="5387"/>
        <w:jc w:val="both"/>
        <w:rPr>
          <w:b/>
          <w:bCs/>
        </w:rPr>
      </w:pPr>
      <w:r w:rsidRPr="00FF0A61">
        <w:t>ЗАТВЕРДЖЕНО</w:t>
      </w:r>
    </w:p>
    <w:p w:rsidR="00FF0A61" w:rsidRPr="00FF0A61" w:rsidRDefault="00FF0A61" w:rsidP="00FF0A61">
      <w:pPr>
        <w:pStyle w:val="1"/>
        <w:ind w:left="5387"/>
        <w:jc w:val="both"/>
      </w:pPr>
    </w:p>
    <w:p w:rsidR="00FF0A61" w:rsidRPr="00FF0A61" w:rsidRDefault="00FF0A61" w:rsidP="00FF0A61">
      <w:pPr>
        <w:pStyle w:val="1"/>
        <w:ind w:left="5387"/>
        <w:jc w:val="both"/>
      </w:pPr>
      <w:r w:rsidRPr="00FF0A61">
        <w:t>Рішення виконавчого комітету Володимирецької селищної ради</w:t>
      </w:r>
    </w:p>
    <w:p w:rsidR="00EE5833" w:rsidRDefault="00EE5833" w:rsidP="00EE5833">
      <w:pPr>
        <w:ind w:left="538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червня 2021 року № 115</w:t>
      </w:r>
    </w:p>
    <w:p w:rsidR="007425A3" w:rsidRPr="007425A3" w:rsidRDefault="007425A3" w:rsidP="007425A3">
      <w:pPr>
        <w:pStyle w:val="11"/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</w:p>
    <w:p w:rsidR="00E21718" w:rsidRDefault="00E2171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>ІНФОРМАЦІЙНА КАРТКА</w:t>
      </w: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 xml:space="preserve">адміністративної послуги </w:t>
      </w: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B029D8" w:rsidRDefault="00B029D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B029D8">
        <w:rPr>
          <w:sz w:val="26"/>
          <w:szCs w:val="26"/>
          <w:u w:val="single"/>
        </w:rPr>
        <w:t xml:space="preserve">з надання містобудівних умов та обмежень для проектування </w:t>
      </w:r>
    </w:p>
    <w:p w:rsidR="00866738" w:rsidRPr="00B029D8" w:rsidRDefault="00B029D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B029D8">
        <w:rPr>
          <w:sz w:val="26"/>
          <w:szCs w:val="26"/>
          <w:u w:val="single"/>
        </w:rPr>
        <w:t>об’єктів будівництва</w:t>
      </w:r>
    </w:p>
    <w:p w:rsidR="00B029D8" w:rsidRPr="00D77D18" w:rsidRDefault="00B029D8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3C44" w:rsidRDefault="00283C44" w:rsidP="00283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Відділ «Центр надання адміністративних послуг» </w:t>
      </w:r>
    </w:p>
    <w:p w:rsidR="00283C44" w:rsidRPr="00D77D18" w:rsidRDefault="00283C44" w:rsidP="00283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>Володимирецької селищної ради</w:t>
      </w:r>
    </w:p>
    <w:p w:rsidR="00283C44" w:rsidRDefault="00283C44" w:rsidP="00283C4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E09E8">
        <w:rPr>
          <w:rFonts w:ascii="Times New Roman" w:hAnsi="Times New Roman" w:cs="Times New Roman"/>
          <w:sz w:val="18"/>
          <w:szCs w:val="18"/>
        </w:rPr>
        <w:t>найменування центру надання адміністративних послуг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21718" w:rsidRDefault="00E21718" w:rsidP="00283C4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21718" w:rsidRDefault="00E21718" w:rsidP="00E2171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171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Відділ містобудування, архітектури, земельних відносин, житлово-комунального господарства, благоустрою, економіки, інвестицій, приватизації, комунальної власності, надзвичайних ситуацій, цивільного захисту населення, </w:t>
      </w:r>
    </w:p>
    <w:p w:rsidR="00E21718" w:rsidRPr="002C3DE5" w:rsidRDefault="00E21718" w:rsidP="00E2171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1718">
        <w:rPr>
          <w:rFonts w:ascii="Times New Roman" w:hAnsi="Times New Roman" w:cs="Times New Roman"/>
          <w:b/>
          <w:sz w:val="26"/>
          <w:szCs w:val="26"/>
          <w:u w:val="single"/>
        </w:rPr>
        <w:t>мобілізаційної роботи і охорони праці</w:t>
      </w:r>
      <w:r w:rsidR="002C3DE5" w:rsidRPr="002C3D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C3DE5" w:rsidRPr="00D77D18">
        <w:rPr>
          <w:rFonts w:ascii="Times New Roman" w:hAnsi="Times New Roman" w:cs="Times New Roman"/>
          <w:b/>
          <w:sz w:val="26"/>
          <w:szCs w:val="26"/>
          <w:u w:val="single"/>
        </w:rPr>
        <w:t>Володимирецької селищної ради</w:t>
      </w:r>
    </w:p>
    <w:p w:rsidR="00E21718" w:rsidRDefault="00E21718" w:rsidP="00283C4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E09E8">
        <w:rPr>
          <w:rFonts w:ascii="Times New Roman" w:hAnsi="Times New Roman" w:cs="Times New Roman"/>
          <w:sz w:val="18"/>
          <w:szCs w:val="18"/>
        </w:rPr>
        <w:t>найменування суб’єкта надання</w:t>
      </w:r>
      <w:r>
        <w:rPr>
          <w:rFonts w:ascii="Times New Roman" w:hAnsi="Times New Roman" w:cs="Times New Roman"/>
          <w:sz w:val="18"/>
          <w:szCs w:val="18"/>
        </w:rPr>
        <w:t xml:space="preserve"> адміністративної послуги)</w:t>
      </w:r>
    </w:p>
    <w:p w:rsidR="00283C44" w:rsidRDefault="00283C44" w:rsidP="00283C4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34"/>
        <w:gridCol w:w="2268"/>
        <w:gridCol w:w="6696"/>
      </w:tblGrid>
      <w:tr w:rsidR="00354EA9" w:rsidRPr="00796473" w:rsidTr="0074641C">
        <w:tc>
          <w:tcPr>
            <w:tcW w:w="9498" w:type="dxa"/>
            <w:gridSpan w:val="3"/>
          </w:tcPr>
          <w:p w:rsidR="00354EA9" w:rsidRPr="00796473" w:rsidRDefault="00354EA9" w:rsidP="00B029D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Style w:val="11pt"/>
                <w:rFonts w:eastAsia="Courier New"/>
                <w:sz w:val="26"/>
                <w:szCs w:val="26"/>
              </w:rPr>
              <w:t>Інформація про центр надання адміністративних послуг</w:t>
            </w:r>
          </w:p>
        </w:tc>
      </w:tr>
      <w:tr w:rsidR="00354EA9" w:rsidRPr="00796473" w:rsidTr="0074641C">
        <w:tc>
          <w:tcPr>
            <w:tcW w:w="534" w:type="dxa"/>
          </w:tcPr>
          <w:p w:rsidR="00354EA9" w:rsidRPr="00796473" w:rsidRDefault="00354EA9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354EA9" w:rsidRPr="00796473" w:rsidRDefault="00354EA9" w:rsidP="0074641C">
            <w:pPr>
              <w:pStyle w:val="11"/>
              <w:shd w:val="clear" w:color="auto" w:fill="auto"/>
              <w:spacing w:before="0" w:after="0" w:line="240" w:lineRule="auto"/>
              <w:ind w:right="-141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Місцезнаходження</w:t>
            </w:r>
          </w:p>
        </w:tc>
        <w:tc>
          <w:tcPr>
            <w:tcW w:w="6696" w:type="dxa"/>
          </w:tcPr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 xml:space="preserve">вул. Єврейська,5, смт Володимирець, 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Вараський р-н, Рівненська обл., 34300</w:t>
            </w:r>
          </w:p>
        </w:tc>
      </w:tr>
      <w:tr w:rsidR="00354EA9" w:rsidRPr="00796473" w:rsidTr="0074641C">
        <w:tc>
          <w:tcPr>
            <w:tcW w:w="534" w:type="dxa"/>
          </w:tcPr>
          <w:p w:rsidR="00354EA9" w:rsidRPr="00796473" w:rsidRDefault="00354EA9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354EA9" w:rsidRPr="00796473" w:rsidRDefault="00354EA9" w:rsidP="00E2171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Інформація щодо режиму роботи</w:t>
            </w:r>
          </w:p>
        </w:tc>
        <w:tc>
          <w:tcPr>
            <w:tcW w:w="6696" w:type="dxa"/>
          </w:tcPr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 прийому суб’єктів звернень:</w:t>
            </w:r>
            <w:r w:rsidR="00796473"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Понеділок, середа, четвер: 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 8.00 год. до 16.00 год.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Вівторок: з 8.00 год. до 20.00 год.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П’ятниця – 08.00 год.  до 15.00 год.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без перерви на обід. 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Субота, неділя – вихідні дні </w:t>
            </w:r>
          </w:p>
        </w:tc>
      </w:tr>
      <w:tr w:rsidR="00354EA9" w:rsidRPr="00796473" w:rsidTr="0074641C">
        <w:tc>
          <w:tcPr>
            <w:tcW w:w="534" w:type="dxa"/>
          </w:tcPr>
          <w:p w:rsidR="00354EA9" w:rsidRPr="00796473" w:rsidRDefault="00354EA9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354EA9" w:rsidRPr="00796473" w:rsidRDefault="00354EA9" w:rsidP="00E2171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 xml:space="preserve">Телефон/факс (довідки), адреса електронної пошти та </w:t>
            </w:r>
            <w:r w:rsidRPr="00796473">
              <w:rPr>
                <w:rStyle w:val="115pt"/>
                <w:sz w:val="26"/>
                <w:szCs w:val="26"/>
                <w:lang w:val="ru-RU"/>
              </w:rPr>
              <w:t>вебсайт</w:t>
            </w:r>
          </w:p>
        </w:tc>
        <w:tc>
          <w:tcPr>
            <w:tcW w:w="6696" w:type="dxa"/>
          </w:tcPr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(03634) 2-38-85</w:t>
            </w:r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64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</w:t>
            </w: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64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cnap</w:t>
              </w:r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volodselrada</w:t>
              </w:r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  <w:p w:rsidR="00354EA9" w:rsidRPr="00796473" w:rsidRDefault="00354EA9" w:rsidP="0074641C">
            <w:pPr>
              <w:autoSpaceDE w:val="0"/>
              <w:autoSpaceDN w:val="0"/>
              <w:adjustRightInd w:val="0"/>
              <w:ind w:left="97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6" w:history="1">
              <w:r w:rsidRPr="0079647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https://volodselrada.gov.ua</w:t>
              </w:r>
            </w:hyperlink>
          </w:p>
        </w:tc>
      </w:tr>
      <w:tr w:rsidR="00354EA9" w:rsidRPr="00796473" w:rsidTr="0074641C">
        <w:tc>
          <w:tcPr>
            <w:tcW w:w="9498" w:type="dxa"/>
            <w:gridSpan w:val="3"/>
          </w:tcPr>
          <w:p w:rsidR="00354EA9" w:rsidRPr="00796473" w:rsidRDefault="00354EA9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Style w:val="11pt"/>
                <w:rFonts w:eastAsia="Courier New"/>
                <w:sz w:val="26"/>
                <w:szCs w:val="26"/>
              </w:rPr>
              <w:t>Нормативні акти, якими</w:t>
            </w: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473">
              <w:rPr>
                <w:rStyle w:val="11pt"/>
                <w:rFonts w:eastAsia="Courier New"/>
                <w:sz w:val="26"/>
                <w:szCs w:val="26"/>
              </w:rPr>
              <w:t>регламентується надання адміністративної послуги</w:t>
            </w:r>
          </w:p>
        </w:tc>
      </w:tr>
      <w:tr w:rsidR="00354EA9" w:rsidRPr="00796473" w:rsidTr="0074641C">
        <w:tc>
          <w:tcPr>
            <w:tcW w:w="534" w:type="dxa"/>
          </w:tcPr>
          <w:p w:rsidR="00354EA9" w:rsidRPr="00796473" w:rsidRDefault="00354EA9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354EA9" w:rsidRPr="00796473" w:rsidRDefault="00354EA9" w:rsidP="0074641C">
            <w:pPr>
              <w:pStyle w:val="11"/>
              <w:shd w:val="clear" w:color="auto" w:fill="auto"/>
              <w:spacing w:before="0" w:after="0" w:line="240" w:lineRule="auto"/>
              <w:ind w:right="-141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Закони України</w:t>
            </w:r>
          </w:p>
        </w:tc>
        <w:tc>
          <w:tcPr>
            <w:tcW w:w="6696" w:type="dxa"/>
          </w:tcPr>
          <w:p w:rsidR="00E21718" w:rsidRPr="00E21718" w:rsidRDefault="00E21718" w:rsidP="00796473">
            <w:pPr>
              <w:pStyle w:val="11"/>
              <w:shd w:val="clear" w:color="auto" w:fill="auto"/>
              <w:spacing w:before="0" w:after="0" w:line="240" w:lineRule="auto"/>
              <w:ind w:left="-85" w:right="-1" w:firstLine="142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E21718">
              <w:rPr>
                <w:b w:val="0"/>
                <w:color w:val="000000"/>
                <w:sz w:val="26"/>
                <w:szCs w:val="26"/>
              </w:rPr>
              <w:t xml:space="preserve">Закон України «Про регулювання містобудівної діяльності» </w:t>
            </w:r>
          </w:p>
          <w:p w:rsidR="00354EA9" w:rsidRPr="00796473" w:rsidRDefault="00354EA9" w:rsidP="00796473">
            <w:pPr>
              <w:pStyle w:val="11"/>
              <w:shd w:val="clear" w:color="auto" w:fill="auto"/>
              <w:spacing w:before="0" w:after="0" w:line="240" w:lineRule="auto"/>
              <w:ind w:left="-85" w:right="-1" w:firstLine="142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Закон України «Про адміністративні послуги»</w:t>
            </w:r>
          </w:p>
        </w:tc>
      </w:tr>
      <w:tr w:rsidR="00E21718" w:rsidRPr="00796473" w:rsidTr="0074641C">
        <w:trPr>
          <w:trHeight w:val="703"/>
        </w:trPr>
        <w:tc>
          <w:tcPr>
            <w:tcW w:w="534" w:type="dxa"/>
          </w:tcPr>
          <w:p w:rsidR="00E21718" w:rsidRPr="00796473" w:rsidRDefault="000C7125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4641C">
            <w:pPr>
              <w:ind w:right="-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473">
              <w:rPr>
                <w:rStyle w:val="115pt"/>
                <w:rFonts w:eastAsia="Courier New"/>
                <w:b w:val="0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6696" w:type="dxa"/>
          </w:tcPr>
          <w:p w:rsidR="00E21718" w:rsidRPr="00E21718" w:rsidRDefault="00E21718" w:rsidP="00F23F4B">
            <w:pPr>
              <w:tabs>
                <w:tab w:val="left" w:pos="230"/>
              </w:tabs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17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Наказ Міністерства регіонального розвитку, будівництва та житлово–комунального господарства від 31.05.2017 № 135 «Про затвердження Порядку ведення реєстру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містобудівних умов та обмежень»</w:t>
            </w:r>
          </w:p>
          <w:p w:rsidR="00E21718" w:rsidRPr="00E21718" w:rsidRDefault="00E21718" w:rsidP="00F23F4B">
            <w:pPr>
              <w:pStyle w:val="11"/>
              <w:shd w:val="clear" w:color="auto" w:fill="auto"/>
              <w:spacing w:before="0" w:after="0" w:line="240" w:lineRule="auto"/>
              <w:ind w:right="-1" w:firstLine="209"/>
              <w:jc w:val="both"/>
              <w:rPr>
                <w:b w:val="0"/>
                <w:sz w:val="26"/>
                <w:szCs w:val="26"/>
              </w:rPr>
            </w:pPr>
            <w:r w:rsidRPr="00E21718">
              <w:rPr>
                <w:b w:val="0"/>
                <w:color w:val="000000"/>
                <w:sz w:val="26"/>
                <w:szCs w:val="26"/>
              </w:rPr>
              <w:t xml:space="preserve">Наказ Міністерства регіонального розвитку, будівництва та житлово-комунального господарства України від 06.11.2017 № 289 «Про затвердження Переліку об’єктів будівництва, для проектування яких </w:t>
            </w:r>
            <w:r w:rsidRPr="00E21718">
              <w:rPr>
                <w:b w:val="0"/>
                <w:color w:val="000000"/>
                <w:sz w:val="26"/>
                <w:szCs w:val="26"/>
              </w:rPr>
              <w:lastRenderedPageBreak/>
              <w:t>містобудівні умови та обмеження не надаються» (із змінами).</w:t>
            </w:r>
          </w:p>
        </w:tc>
      </w:tr>
      <w:tr w:rsidR="00E21718" w:rsidRPr="00796473" w:rsidTr="0074641C">
        <w:tc>
          <w:tcPr>
            <w:tcW w:w="9498" w:type="dxa"/>
            <w:gridSpan w:val="3"/>
          </w:tcPr>
          <w:p w:rsidR="00E21718" w:rsidRPr="00796473" w:rsidRDefault="00E21718" w:rsidP="00E21718">
            <w:pPr>
              <w:ind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Умови отримання адміністративної послуги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0C7125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E217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Style w:val="115pt"/>
                <w:rFonts w:eastAsia="Courier New"/>
                <w:b w:val="0"/>
                <w:sz w:val="26"/>
                <w:szCs w:val="26"/>
              </w:rPr>
              <w:t>Підстава для отримання адміністративної послуги</w:t>
            </w:r>
          </w:p>
        </w:tc>
        <w:tc>
          <w:tcPr>
            <w:tcW w:w="6696" w:type="dxa"/>
          </w:tcPr>
          <w:p w:rsidR="00E21718" w:rsidRPr="00E21718" w:rsidRDefault="00F42E94" w:rsidP="00F42E94">
            <w:pPr>
              <w:ind w:right="-1" w:firstLine="2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115pt"/>
                <w:rFonts w:eastAsia="Courier New"/>
                <w:b w:val="0"/>
                <w:sz w:val="26"/>
                <w:szCs w:val="26"/>
              </w:rPr>
              <w:t>Заява заявника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0C7125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E217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96" w:type="dxa"/>
          </w:tcPr>
          <w:p w:rsidR="007F2394" w:rsidRPr="007F2394" w:rsidRDefault="007F2394" w:rsidP="007F2394">
            <w:pPr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1. Заява (із зазначенням кадастрового номера земельної ділянки) встанов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леного зразка</w:t>
            </w:r>
          </w:p>
          <w:p w:rsidR="007F2394" w:rsidRPr="007F2394" w:rsidRDefault="007F2394" w:rsidP="007F2394">
            <w:pPr>
              <w:shd w:val="clear" w:color="auto" w:fill="FFFFFF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2. Копія документа, що посвідчує право власності чи користування земельною ділянкою, або копія договору суперфіцію - у разі, якщо речове право на земельну ділянку не зареєстровано в Державному реєстрі речових прав на нерухоме майно;</w:t>
            </w:r>
          </w:p>
          <w:p w:rsidR="007F2394" w:rsidRPr="007F2394" w:rsidRDefault="007F2394" w:rsidP="007F2394">
            <w:pPr>
              <w:shd w:val="clear" w:color="auto" w:fill="FFFFFF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3.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:rsidR="00E21718" w:rsidRDefault="007F2394" w:rsidP="00F42E94">
            <w:pPr>
              <w:shd w:val="clear" w:color="auto" w:fill="FFFFFF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Викопіювання з топографо-геодезичного плану М 1:2000</w:t>
            </w: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42E94" w:rsidRPr="00F42E94" w:rsidRDefault="00F42E94" w:rsidP="009A431D">
            <w:pPr>
              <w:shd w:val="clear" w:color="auto" w:fill="FFFFFF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="009A431D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істобудівний розрахунок.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0C7125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85A54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96" w:type="dxa"/>
          </w:tcPr>
          <w:p w:rsidR="00E21718" w:rsidRPr="00796473" w:rsidRDefault="007F2394" w:rsidP="00796473">
            <w:pPr>
              <w:ind w:left="-108"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 xml:space="preserve">окументи подаються заявником особисто або поштовим відправленням. </w:t>
            </w:r>
          </w:p>
          <w:p w:rsidR="00E21718" w:rsidRPr="00796473" w:rsidRDefault="00E21718" w:rsidP="007F2394">
            <w:pPr>
              <w:ind w:left="-108"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0C7125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4641C">
            <w:pPr>
              <w:pStyle w:val="11"/>
              <w:shd w:val="clear" w:color="auto" w:fill="auto"/>
              <w:spacing w:before="0" w:after="0" w:line="240" w:lineRule="auto"/>
              <w:ind w:right="-141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6696" w:type="dxa"/>
          </w:tcPr>
          <w:p w:rsidR="00E21718" w:rsidRPr="00796473" w:rsidRDefault="00E21718" w:rsidP="00796473">
            <w:pPr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Безоплатно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0C7125" w:rsidP="0074641C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21718"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85A54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6696" w:type="dxa"/>
          </w:tcPr>
          <w:p w:rsidR="00E21718" w:rsidRPr="007F2394" w:rsidRDefault="007F2394" w:rsidP="00796473">
            <w:pPr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 10 робочих днів з дня надходження пакета документів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E21718" w:rsidP="007F2394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71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85A54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 xml:space="preserve">Перелік підстав для відмови у </w:t>
            </w:r>
            <w:r w:rsidR="00F42E94">
              <w:rPr>
                <w:rStyle w:val="115pt"/>
                <w:sz w:val="26"/>
                <w:szCs w:val="26"/>
              </w:rPr>
              <w:t xml:space="preserve">наданні </w:t>
            </w:r>
            <w:r w:rsidR="00F42E94" w:rsidRPr="00796473">
              <w:rPr>
                <w:rStyle w:val="115pt"/>
                <w:sz w:val="26"/>
                <w:szCs w:val="26"/>
              </w:rPr>
              <w:t>адміністративної послуги</w:t>
            </w:r>
          </w:p>
        </w:tc>
        <w:tc>
          <w:tcPr>
            <w:tcW w:w="6696" w:type="dxa"/>
          </w:tcPr>
          <w:p w:rsidR="007F2394" w:rsidRPr="007F2394" w:rsidRDefault="007F2394" w:rsidP="007F2394">
            <w:pPr>
              <w:shd w:val="clear" w:color="auto" w:fill="FFFFFF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F42E9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42E94" w:rsidRPr="00F42E94">
              <w:rPr>
                <w:rFonts w:ascii="Times New Roman" w:eastAsia="Times New Roman" w:hAnsi="Times New Roman" w:cs="Times New Roman"/>
                <w:sz w:val="26"/>
                <w:szCs w:val="26"/>
              </w:rPr>
              <w:t>еподання визначених документів, необхідних для прийняття рішення про надання містобудівних умов та обмежень.</w:t>
            </w:r>
          </w:p>
          <w:p w:rsidR="007F2394" w:rsidRPr="007F2394" w:rsidRDefault="007F2394" w:rsidP="007F2394">
            <w:pPr>
              <w:shd w:val="clear" w:color="auto" w:fill="FFFFFF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2.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</w:t>
            </w:r>
            <w:r w:rsidR="00F42E9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21718" w:rsidRPr="007F2394" w:rsidRDefault="007F2394" w:rsidP="007F2394">
            <w:pPr>
              <w:ind w:right="-1"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394">
              <w:rPr>
                <w:rFonts w:ascii="Times New Roman" w:eastAsia="Times New Roman" w:hAnsi="Times New Roman" w:cs="Times New Roman"/>
                <w:sz w:val="26"/>
                <w:szCs w:val="26"/>
              </w:rPr>
              <w:t>3. Невідповідність намірів забудови вимогам містобудівної документації на місцевому рівні.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E21718" w:rsidP="000C7125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C71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85A54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6696" w:type="dxa"/>
          </w:tcPr>
          <w:p w:rsidR="007F2394" w:rsidRPr="007F2394" w:rsidRDefault="007F2394" w:rsidP="00796473">
            <w:pPr>
              <w:pStyle w:val="11"/>
              <w:shd w:val="clear" w:color="auto" w:fill="auto"/>
              <w:spacing w:before="0" w:after="0" w:line="240" w:lineRule="auto"/>
              <w:ind w:left="-75" w:right="-1" w:firstLine="207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7F2394">
              <w:rPr>
                <w:b w:val="0"/>
                <w:color w:val="000000"/>
                <w:sz w:val="26"/>
                <w:szCs w:val="26"/>
              </w:rPr>
              <w:t>Містобудівні умови та обмеження для проектування об’єкту будівництва.</w:t>
            </w:r>
          </w:p>
          <w:p w:rsidR="00E21718" w:rsidRPr="007F2394" w:rsidRDefault="00F42E94" w:rsidP="00F42E94">
            <w:pPr>
              <w:pStyle w:val="11"/>
              <w:shd w:val="clear" w:color="auto" w:fill="auto"/>
              <w:spacing w:before="0" w:after="0" w:line="240" w:lineRule="auto"/>
              <w:ind w:left="-75" w:right="-1" w:firstLine="207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42E94">
              <w:rPr>
                <w:b w:val="0"/>
                <w:color w:val="000000"/>
                <w:sz w:val="26"/>
                <w:szCs w:val="26"/>
              </w:rPr>
              <w:t>Лист</w:t>
            </w:r>
            <w:r w:rsidR="00E21718" w:rsidRPr="00F42E94">
              <w:rPr>
                <w:b w:val="0"/>
                <w:color w:val="000000"/>
                <w:sz w:val="26"/>
                <w:szCs w:val="26"/>
              </w:rPr>
              <w:t xml:space="preserve"> про відмову </w:t>
            </w:r>
            <w:r w:rsidRPr="00F42E94">
              <w:rPr>
                <w:b w:val="0"/>
                <w:color w:val="000000"/>
                <w:sz w:val="26"/>
                <w:szCs w:val="26"/>
              </w:rPr>
              <w:t>у наданні містобудівних умов та обмежень з обґрунтуванням підстав такої відмови</w:t>
            </w:r>
            <w:r>
              <w:rPr>
                <w:b w:val="0"/>
                <w:color w:val="000000"/>
                <w:sz w:val="26"/>
                <w:szCs w:val="26"/>
              </w:rPr>
              <w:t>.</w:t>
            </w:r>
          </w:p>
        </w:tc>
      </w:tr>
      <w:tr w:rsidR="00E21718" w:rsidRPr="00796473" w:rsidTr="0074641C">
        <w:tc>
          <w:tcPr>
            <w:tcW w:w="534" w:type="dxa"/>
          </w:tcPr>
          <w:p w:rsidR="00E21718" w:rsidRPr="00796473" w:rsidRDefault="00E21718" w:rsidP="000C7125">
            <w:pPr>
              <w:ind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7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96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1718" w:rsidRPr="00796473" w:rsidRDefault="00E21718" w:rsidP="0074641C">
            <w:pPr>
              <w:pStyle w:val="11"/>
              <w:shd w:val="clear" w:color="auto" w:fill="auto"/>
              <w:spacing w:before="0" w:after="0" w:line="240" w:lineRule="auto"/>
              <w:ind w:right="-141"/>
              <w:jc w:val="both"/>
              <w:rPr>
                <w:sz w:val="26"/>
                <w:szCs w:val="26"/>
              </w:rPr>
            </w:pPr>
            <w:r w:rsidRPr="00796473">
              <w:rPr>
                <w:rStyle w:val="115pt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6696" w:type="dxa"/>
          </w:tcPr>
          <w:p w:rsidR="00E21718" w:rsidRPr="00F42E94" w:rsidRDefault="007F2394" w:rsidP="00F42E94">
            <w:pPr>
              <w:pStyle w:val="11"/>
              <w:shd w:val="clear" w:color="auto" w:fill="auto"/>
              <w:spacing w:before="0" w:after="0" w:line="240" w:lineRule="auto"/>
              <w:ind w:left="-75" w:right="-1" w:firstLine="207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42E94">
              <w:rPr>
                <w:b w:val="0"/>
                <w:color w:val="000000"/>
                <w:sz w:val="26"/>
                <w:szCs w:val="26"/>
              </w:rPr>
              <w:t xml:space="preserve">Особисто заявником за пред’явленням </w:t>
            </w:r>
            <w:r w:rsidR="00F42E94">
              <w:rPr>
                <w:b w:val="0"/>
                <w:color w:val="000000"/>
                <w:sz w:val="26"/>
                <w:szCs w:val="26"/>
              </w:rPr>
              <w:t>документа, що посвідчує особу.</w:t>
            </w:r>
          </w:p>
        </w:tc>
      </w:tr>
    </w:tbl>
    <w:p w:rsidR="0074641C" w:rsidRDefault="0074641C" w:rsidP="0074641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4641C" w:rsidRDefault="0074641C" w:rsidP="0074641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4641C" w:rsidRDefault="0074641C" w:rsidP="0074641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4641C" w:rsidRDefault="0074641C" w:rsidP="0074641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4641C" w:rsidRPr="0074641C" w:rsidRDefault="0074641C" w:rsidP="007464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41C">
        <w:rPr>
          <w:rFonts w:ascii="Times New Roman" w:hAnsi="Times New Roman" w:cs="Times New Roman"/>
          <w:bCs/>
          <w:sz w:val="28"/>
          <w:szCs w:val="28"/>
        </w:rPr>
        <w:t>Секретар селищної ради</w:t>
      </w:r>
      <w:r w:rsidRPr="0074641C">
        <w:rPr>
          <w:rFonts w:ascii="Times New Roman" w:hAnsi="Times New Roman" w:cs="Times New Roman"/>
          <w:bCs/>
          <w:sz w:val="28"/>
          <w:szCs w:val="28"/>
        </w:rPr>
        <w:tab/>
      </w:r>
      <w:r w:rsidRPr="0074641C">
        <w:rPr>
          <w:rFonts w:ascii="Times New Roman" w:hAnsi="Times New Roman" w:cs="Times New Roman"/>
          <w:bCs/>
          <w:sz w:val="28"/>
          <w:szCs w:val="28"/>
        </w:rPr>
        <w:tab/>
      </w:r>
      <w:r w:rsidRPr="0074641C">
        <w:rPr>
          <w:rFonts w:ascii="Times New Roman" w:hAnsi="Times New Roman" w:cs="Times New Roman"/>
          <w:bCs/>
          <w:sz w:val="28"/>
          <w:szCs w:val="28"/>
        </w:rPr>
        <w:tab/>
      </w:r>
      <w:r w:rsidRPr="0074641C">
        <w:rPr>
          <w:rFonts w:ascii="Times New Roman" w:hAnsi="Times New Roman" w:cs="Times New Roman"/>
          <w:bCs/>
          <w:sz w:val="28"/>
          <w:szCs w:val="28"/>
        </w:rPr>
        <w:tab/>
      </w:r>
      <w:r w:rsidRPr="0074641C">
        <w:rPr>
          <w:rFonts w:ascii="Times New Roman" w:hAnsi="Times New Roman" w:cs="Times New Roman"/>
          <w:bCs/>
          <w:sz w:val="28"/>
          <w:szCs w:val="28"/>
        </w:rPr>
        <w:tab/>
      </w:r>
      <w:r w:rsidRPr="0074641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4641C">
        <w:rPr>
          <w:rFonts w:ascii="Times New Roman" w:hAnsi="Times New Roman" w:cs="Times New Roman"/>
          <w:bCs/>
          <w:sz w:val="28"/>
          <w:szCs w:val="28"/>
        </w:rPr>
        <w:t xml:space="preserve"> Юрій БЛИЩИК</w:t>
      </w:r>
    </w:p>
    <w:p w:rsidR="0074641C" w:rsidRPr="00796473" w:rsidRDefault="0074641C" w:rsidP="00796473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74641C" w:rsidRPr="00796473" w:rsidSect="000C712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7D89"/>
    <w:multiLevelType w:val="hybridMultilevel"/>
    <w:tmpl w:val="F612A246"/>
    <w:lvl w:ilvl="0" w:tplc="02B88438">
      <w:start w:val="1"/>
      <w:numFmt w:val="decimal"/>
      <w:lvlText w:val="%1."/>
      <w:lvlJc w:val="left"/>
      <w:pPr>
        <w:ind w:left="992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9A753AC"/>
    <w:multiLevelType w:val="hybridMultilevel"/>
    <w:tmpl w:val="78B2C992"/>
    <w:lvl w:ilvl="0" w:tplc="57DA9DCE">
      <w:start w:val="1"/>
      <w:numFmt w:val="decimal"/>
      <w:lvlText w:val="%1."/>
      <w:lvlJc w:val="left"/>
      <w:pPr>
        <w:ind w:left="64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4" w:hanging="360"/>
      </w:pPr>
    </w:lvl>
    <w:lvl w:ilvl="2" w:tplc="0422001B" w:tentative="1">
      <w:start w:val="1"/>
      <w:numFmt w:val="lowerRoman"/>
      <w:lvlText w:val="%3."/>
      <w:lvlJc w:val="right"/>
      <w:pPr>
        <w:ind w:left="2074" w:hanging="180"/>
      </w:pPr>
    </w:lvl>
    <w:lvl w:ilvl="3" w:tplc="0422000F" w:tentative="1">
      <w:start w:val="1"/>
      <w:numFmt w:val="decimal"/>
      <w:lvlText w:val="%4."/>
      <w:lvlJc w:val="left"/>
      <w:pPr>
        <w:ind w:left="2794" w:hanging="360"/>
      </w:pPr>
    </w:lvl>
    <w:lvl w:ilvl="4" w:tplc="04220019" w:tentative="1">
      <w:start w:val="1"/>
      <w:numFmt w:val="lowerLetter"/>
      <w:lvlText w:val="%5."/>
      <w:lvlJc w:val="left"/>
      <w:pPr>
        <w:ind w:left="3514" w:hanging="360"/>
      </w:pPr>
    </w:lvl>
    <w:lvl w:ilvl="5" w:tplc="0422001B" w:tentative="1">
      <w:start w:val="1"/>
      <w:numFmt w:val="lowerRoman"/>
      <w:lvlText w:val="%6."/>
      <w:lvlJc w:val="right"/>
      <w:pPr>
        <w:ind w:left="4234" w:hanging="180"/>
      </w:pPr>
    </w:lvl>
    <w:lvl w:ilvl="6" w:tplc="0422000F" w:tentative="1">
      <w:start w:val="1"/>
      <w:numFmt w:val="decimal"/>
      <w:lvlText w:val="%7."/>
      <w:lvlJc w:val="left"/>
      <w:pPr>
        <w:ind w:left="4954" w:hanging="360"/>
      </w:pPr>
    </w:lvl>
    <w:lvl w:ilvl="7" w:tplc="04220019" w:tentative="1">
      <w:start w:val="1"/>
      <w:numFmt w:val="lowerLetter"/>
      <w:lvlText w:val="%8."/>
      <w:lvlJc w:val="left"/>
      <w:pPr>
        <w:ind w:left="5674" w:hanging="360"/>
      </w:pPr>
    </w:lvl>
    <w:lvl w:ilvl="8" w:tplc="0422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3936"/>
    <w:rsid w:val="000C7125"/>
    <w:rsid w:val="001120BE"/>
    <w:rsid w:val="00135496"/>
    <w:rsid w:val="00283C44"/>
    <w:rsid w:val="002C3DE5"/>
    <w:rsid w:val="00354EA9"/>
    <w:rsid w:val="00683936"/>
    <w:rsid w:val="006F162C"/>
    <w:rsid w:val="007425A3"/>
    <w:rsid w:val="0074641C"/>
    <w:rsid w:val="00766114"/>
    <w:rsid w:val="00785A54"/>
    <w:rsid w:val="00792037"/>
    <w:rsid w:val="00796473"/>
    <w:rsid w:val="007A0FED"/>
    <w:rsid w:val="007F2394"/>
    <w:rsid w:val="00817BA6"/>
    <w:rsid w:val="00866738"/>
    <w:rsid w:val="00986FB7"/>
    <w:rsid w:val="009A431D"/>
    <w:rsid w:val="00A57EEE"/>
    <w:rsid w:val="00AB7867"/>
    <w:rsid w:val="00AC24B9"/>
    <w:rsid w:val="00AE6D3B"/>
    <w:rsid w:val="00B029D8"/>
    <w:rsid w:val="00B57C81"/>
    <w:rsid w:val="00C34A59"/>
    <w:rsid w:val="00C57E7B"/>
    <w:rsid w:val="00CC2391"/>
    <w:rsid w:val="00D46413"/>
    <w:rsid w:val="00DF3EA2"/>
    <w:rsid w:val="00E21718"/>
    <w:rsid w:val="00E57ADA"/>
    <w:rsid w:val="00EE5833"/>
    <w:rsid w:val="00F171A2"/>
    <w:rsid w:val="00F42E94"/>
    <w:rsid w:val="00FC731B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C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C731B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83C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283C4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8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Не полужирный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5">
    <w:name w:val="Hyperlink"/>
    <w:basedOn w:val="a0"/>
    <w:rsid w:val="00354EA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17B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73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Heading2Char">
    <w:name w:val="Heading 2 Char"/>
    <w:basedOn w:val="a0"/>
    <w:link w:val="21"/>
    <w:uiPriority w:val="9"/>
    <w:rsid w:val="00E21718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21718"/>
    <w:pPr>
      <w:keepNext/>
      <w:keepLines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76" w:lineRule="auto"/>
      <w:outlineLvl w:val="1"/>
    </w:pPr>
    <w:rPr>
      <w:rFonts w:ascii="Arial" w:eastAsia="Arial" w:hAnsi="Arial" w:cs="Arial"/>
      <w:color w:val="auto"/>
      <w:sz w:val="3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dselrada.gov.ua" TargetMode="External"/><Relationship Id="rId5" Type="http://schemas.openxmlformats.org/officeDocument/2006/relationships/hyperlink" Target="mailto:cnap@volodsel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2683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2021-07-06T08:01:00Z</cp:lastPrinted>
  <dcterms:created xsi:type="dcterms:W3CDTF">2021-07-06T08:02:00Z</dcterms:created>
  <dcterms:modified xsi:type="dcterms:W3CDTF">2021-07-06T12:40:00Z</dcterms:modified>
</cp:coreProperties>
</file>