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25" w:rsidRDefault="00EA2D75">
      <w:r w:rsidRPr="00EA2D7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-842645</wp:posOffset>
            </wp:positionV>
            <wp:extent cx="10744200" cy="7505700"/>
            <wp:effectExtent l="19050" t="0" r="1905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271525" w:rsidSect="00EA2D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D75"/>
    <w:rsid w:val="00271525"/>
    <w:rsid w:val="00EA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h_Kvas\Desktop\&#1057;&#1090;&#1080;&#1089;&#1083;&#1080;&#1081;%20&#1079;&#1074;&#1110;&#1090;%20&#1087;&#1088;&#1086;%20&#1073;&#1102;&#1076;&#1078;&#1077;&#1090;%20&#1079;&#1072;%202018%20&#1088;&#111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/>
              <a:t>ДОХІДНА ЧАСТИНА.</a:t>
            </a:r>
            <a:r>
              <a:rPr lang="uk-UA" baseline="0"/>
              <a:t> </a:t>
            </a:r>
            <a:r>
              <a:rPr lang="uk-UA"/>
              <a:t>ЗАГАЛЬНИЙ ФОНД</a:t>
            </a:r>
          </a:p>
        </c:rich>
      </c:tx>
      <c:spPr>
        <a:solidFill>
          <a:srgbClr val="FF0000"/>
        </a:solidFill>
      </c:spPr>
    </c:title>
    <c:plotArea>
      <c:layout>
        <c:manualLayout>
          <c:layoutTarget val="inner"/>
          <c:xMode val="edge"/>
          <c:yMode val="edge"/>
          <c:x val="0.13143714748422411"/>
          <c:y val="7.0000000000000021E-2"/>
          <c:w val="0.68294289011745868"/>
          <c:h val="0.90791878172588836"/>
        </c:manualLayout>
      </c:layout>
      <c:barChart>
        <c:barDir val="col"/>
        <c:grouping val="clustered"/>
        <c:ser>
          <c:idx val="0"/>
          <c:order val="0"/>
          <c:tx>
            <c:strRef>
              <c:f>'ЗВЕДЕННЯ БЮДЖЕТУ'!$C$5</c:f>
              <c:strCache>
                <c:ptCount val="1"/>
                <c:pt idx="0">
                  <c:v>Фактичний показник за поточний рік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showVal val="1"/>
          </c:dLbls>
          <c:cat>
            <c:strRef>
              <c:f>'ЗВЕДЕННЯ БЮДЖЕТУ'!$B$6:$B$7</c:f>
              <c:strCache>
                <c:ptCount val="2"/>
                <c:pt idx="0">
                  <c:v>Дохідна частина</c:v>
                </c:pt>
                <c:pt idx="1">
                  <c:v>Видаткова частина</c:v>
                </c:pt>
              </c:strCache>
            </c:strRef>
          </c:cat>
          <c:val>
            <c:numRef>
              <c:f>'ЗВЕДЕННЯ БЮДЖЕТУ'!$C$6:$C$7</c:f>
              <c:numCache>
                <c:formatCode>#,##0.00"₴";[Red]\-#,##0.00"₴"</c:formatCode>
                <c:ptCount val="2"/>
                <c:pt idx="0">
                  <c:v>13307386.75</c:v>
                </c:pt>
                <c:pt idx="1">
                  <c:v>11036999.050000003</c:v>
                </c:pt>
              </c:numCache>
            </c:numRef>
          </c:val>
        </c:ser>
        <c:ser>
          <c:idx val="1"/>
          <c:order val="1"/>
          <c:tx>
            <c:strRef>
              <c:f>'ЗВЕДЕННЯ БЮДЖЕТУ'!$D$5</c:f>
              <c:strCache>
                <c:ptCount val="1"/>
                <c:pt idx="0">
                  <c:v>Плановий показник за поточний рік</c:v>
                </c:pt>
              </c:strCache>
            </c:strRef>
          </c:tx>
          <c:dLbls>
            <c:showVal val="1"/>
          </c:dLbls>
          <c:cat>
            <c:strRef>
              <c:f>'ЗВЕДЕННЯ БЮДЖЕТУ'!$B$6:$B$7</c:f>
              <c:strCache>
                <c:ptCount val="2"/>
                <c:pt idx="0">
                  <c:v>Дохідна частина</c:v>
                </c:pt>
                <c:pt idx="1">
                  <c:v>Видаткова частина</c:v>
                </c:pt>
              </c:strCache>
            </c:strRef>
          </c:cat>
          <c:val>
            <c:numRef>
              <c:f>'ЗВЕДЕННЯ БЮДЖЕТУ'!$D$6:$D$7</c:f>
              <c:numCache>
                <c:formatCode>#,##0.00"₴";[Red]\-#,##0.00"₴"</c:formatCode>
                <c:ptCount val="2"/>
                <c:pt idx="0">
                  <c:v>12031170</c:v>
                </c:pt>
                <c:pt idx="1">
                  <c:v>13326708.779999997</c:v>
                </c:pt>
              </c:numCache>
            </c:numRef>
          </c:val>
        </c:ser>
        <c:ser>
          <c:idx val="2"/>
          <c:order val="2"/>
          <c:tx>
            <c:strRef>
              <c:f>'ЗВЕДЕННЯ БЮДЖЕТУ'!$E$5</c:f>
              <c:strCache>
                <c:ptCount val="1"/>
                <c:pt idx="0">
                  <c:v>Відхилення за поточний рік</c:v>
                </c:pt>
              </c:strCache>
            </c:strRef>
          </c:tx>
          <c:dLbls>
            <c:showVal val="1"/>
          </c:dLbls>
          <c:cat>
            <c:strRef>
              <c:f>'ЗВЕДЕННЯ БЮДЖЕТУ'!$B$6:$B$7</c:f>
              <c:strCache>
                <c:ptCount val="2"/>
                <c:pt idx="0">
                  <c:v>Дохідна частина</c:v>
                </c:pt>
                <c:pt idx="1">
                  <c:v>Видаткова частина</c:v>
                </c:pt>
              </c:strCache>
            </c:strRef>
          </c:cat>
          <c:val>
            <c:numRef>
              <c:f>'ЗВЕДЕННЯ БЮДЖЕТУ'!$E$6:$E$7</c:f>
              <c:numCache>
                <c:formatCode>#,##0.00"₴";[Red]\-#,##0.00"₴"</c:formatCode>
                <c:ptCount val="2"/>
                <c:pt idx="0">
                  <c:v>1276216.75</c:v>
                </c:pt>
                <c:pt idx="1">
                  <c:v>-2289709.7299999986</c:v>
                </c:pt>
              </c:numCache>
            </c:numRef>
          </c:val>
        </c:ser>
        <c:axId val="44850176"/>
        <c:axId val="76397952"/>
      </c:barChart>
      <c:catAx>
        <c:axId val="44850176"/>
        <c:scaling>
          <c:orientation val="minMax"/>
        </c:scaling>
        <c:axPos val="b"/>
        <c:tickLblPos val="nextTo"/>
        <c:crossAx val="76397952"/>
        <c:crosses val="autoZero"/>
        <c:auto val="1"/>
        <c:lblAlgn val="ctr"/>
        <c:lblOffset val="100"/>
      </c:catAx>
      <c:valAx>
        <c:axId val="76397952"/>
        <c:scaling>
          <c:orientation val="minMax"/>
        </c:scaling>
        <c:axPos val="l"/>
        <c:majorGridlines/>
        <c:numFmt formatCode="#,##0.00&quot;₴&quot;;[Red]\-#,##0.00&quot;₴&quot;" sourceLinked="1"/>
        <c:tickLblPos val="nextTo"/>
        <c:crossAx val="44850176"/>
        <c:crosses val="autoZero"/>
        <c:crossBetween val="between"/>
      </c:valAx>
    </c:plotArea>
    <c:legend>
      <c:legendPos val="r"/>
    </c:legend>
    <c:plotVisOnly val="1"/>
  </c:chart>
  <c:spPr>
    <a:gradFill flip="none" rotWithShape="1">
      <a:gsLst>
        <a:gs pos="0">
          <a:schemeClr val="accent6">
            <a:lumMod val="60000"/>
            <a:lumOff val="40000"/>
          </a:schemeClr>
        </a:gs>
        <a:gs pos="13000">
          <a:srgbClr val="BD922A"/>
        </a:gs>
        <a:gs pos="21001">
          <a:srgbClr val="BD922A"/>
        </a:gs>
        <a:gs pos="63000">
          <a:srgbClr val="FBE4AE"/>
        </a:gs>
        <a:gs pos="67000">
          <a:srgbClr val="BD922A"/>
        </a:gs>
        <a:gs pos="69000">
          <a:srgbClr val="835E17"/>
        </a:gs>
        <a:gs pos="82001">
          <a:srgbClr val="A28949"/>
        </a:gs>
        <a:gs pos="100000">
          <a:srgbClr val="FAE3B7"/>
        </a:gs>
      </a:gsLst>
      <a:path path="circle">
        <a:fillToRect l="100000" t="100000"/>
      </a:path>
      <a:tileRect r="-100000" b="-100000"/>
    </a:gradFill>
  </c:spPr>
  <c:txPr>
    <a:bodyPr/>
    <a:lstStyle/>
    <a:p>
      <a:pPr>
        <a:defRPr sz="1400" b="1" i="1" baseline="0">
          <a:latin typeface="Times New Roman" pitchFamily="18" charset="0"/>
          <a:cs typeface="Times New Roman" pitchFamily="18" charset="0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Oleh_Kvas</dc:creator>
  <cp:lastModifiedBy>Oleh_Kvas</cp:lastModifiedBy>
  <cp:revision>2</cp:revision>
  <dcterms:created xsi:type="dcterms:W3CDTF">2019-04-19T06:21:00Z</dcterms:created>
  <dcterms:modified xsi:type="dcterms:W3CDTF">2019-04-19T06:23:00Z</dcterms:modified>
</cp:coreProperties>
</file>