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69" w:rsidRPr="003A429A" w:rsidRDefault="00C51769" w:rsidP="000021D9">
      <w:pPr>
        <w:widowControl w:val="0"/>
        <w:tabs>
          <w:tab w:val="left" w:pos="9540"/>
        </w:tabs>
        <w:ind w:right="51" w:firstLine="709"/>
        <w:jc w:val="center"/>
        <w:rPr>
          <w:color w:val="0D0D0D" w:themeColor="text1" w:themeTint="F2"/>
          <w:sz w:val="28"/>
          <w:szCs w:val="28"/>
          <w:lang w:val="uk-UA"/>
        </w:rPr>
      </w:pPr>
      <w:r w:rsidRPr="003A429A">
        <w:rPr>
          <w:noProof/>
          <w:color w:val="0D0D0D" w:themeColor="text1" w:themeTint="F2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69" w:rsidRPr="003A429A" w:rsidRDefault="00C51769" w:rsidP="000021D9">
      <w:pPr>
        <w:widowControl w:val="0"/>
        <w:ind w:right="51" w:firstLine="709"/>
        <w:jc w:val="center"/>
        <w:rPr>
          <w:color w:val="0D0D0D" w:themeColor="text1" w:themeTint="F2"/>
          <w:sz w:val="28"/>
          <w:szCs w:val="28"/>
          <w:lang w:val="uk-UA"/>
        </w:rPr>
      </w:pPr>
    </w:p>
    <w:p w:rsidR="00C51769" w:rsidRPr="003A429A" w:rsidRDefault="00C51769" w:rsidP="000021D9">
      <w:pPr>
        <w:widowControl w:val="0"/>
        <w:ind w:right="51" w:firstLine="709"/>
        <w:jc w:val="center"/>
        <w:rPr>
          <w:color w:val="0D0D0D" w:themeColor="text1" w:themeTint="F2"/>
          <w:sz w:val="28"/>
          <w:szCs w:val="28"/>
          <w:lang w:val="uk-UA"/>
        </w:rPr>
      </w:pPr>
      <w:r w:rsidRPr="003A429A">
        <w:rPr>
          <w:color w:val="0D0D0D" w:themeColor="text1" w:themeTint="F2"/>
          <w:sz w:val="28"/>
          <w:szCs w:val="28"/>
          <w:lang w:val="uk-UA"/>
        </w:rPr>
        <w:t>ВОЛОДИМИРЕЦЬКА СЕЛИЩНА  РАДА РІВНЕНСЬКОЇ ОБЛАСТІ</w:t>
      </w:r>
    </w:p>
    <w:p w:rsidR="00C51769" w:rsidRPr="003A429A" w:rsidRDefault="00C51769" w:rsidP="000021D9">
      <w:pPr>
        <w:widowControl w:val="0"/>
        <w:tabs>
          <w:tab w:val="left" w:pos="0"/>
        </w:tabs>
        <w:ind w:firstLine="709"/>
        <w:jc w:val="center"/>
        <w:rPr>
          <w:color w:val="0D0D0D" w:themeColor="text1" w:themeTint="F2"/>
          <w:sz w:val="28"/>
          <w:szCs w:val="28"/>
          <w:lang w:val="uk-UA"/>
        </w:rPr>
      </w:pPr>
      <w:r w:rsidRPr="003A429A">
        <w:rPr>
          <w:color w:val="0D0D0D" w:themeColor="text1" w:themeTint="F2"/>
          <w:sz w:val="28"/>
          <w:szCs w:val="28"/>
          <w:lang w:val="uk-UA"/>
        </w:rPr>
        <w:t>(сьоме скликання)</w:t>
      </w:r>
    </w:p>
    <w:p w:rsidR="00C51769" w:rsidRPr="003A429A" w:rsidRDefault="00C51769" w:rsidP="000021D9">
      <w:pPr>
        <w:widowControl w:val="0"/>
        <w:ind w:firstLine="709"/>
        <w:rPr>
          <w:color w:val="0D0D0D" w:themeColor="text1" w:themeTint="F2"/>
          <w:sz w:val="28"/>
          <w:szCs w:val="28"/>
          <w:lang w:val="uk-UA"/>
        </w:rPr>
      </w:pPr>
    </w:p>
    <w:p w:rsidR="00C51769" w:rsidRPr="003A429A" w:rsidRDefault="00C51769" w:rsidP="000021D9">
      <w:pPr>
        <w:widowControl w:val="0"/>
        <w:ind w:firstLine="709"/>
        <w:jc w:val="center"/>
        <w:rPr>
          <w:color w:val="0D0D0D" w:themeColor="text1" w:themeTint="F2"/>
          <w:sz w:val="28"/>
          <w:szCs w:val="28"/>
          <w:lang w:val="uk-UA"/>
        </w:rPr>
      </w:pPr>
      <w:r w:rsidRPr="003A429A">
        <w:rPr>
          <w:color w:val="0D0D0D" w:themeColor="text1" w:themeTint="F2"/>
          <w:sz w:val="28"/>
          <w:szCs w:val="28"/>
          <w:lang w:val="uk-UA"/>
        </w:rPr>
        <w:t xml:space="preserve">Р І Ш Е Н </w:t>
      </w:r>
      <w:proofErr w:type="spellStart"/>
      <w:r w:rsidRPr="003A429A">
        <w:rPr>
          <w:color w:val="0D0D0D" w:themeColor="text1" w:themeTint="F2"/>
          <w:sz w:val="28"/>
          <w:szCs w:val="28"/>
          <w:lang w:val="uk-UA"/>
        </w:rPr>
        <w:t>Н</w:t>
      </w:r>
      <w:proofErr w:type="spellEnd"/>
      <w:r w:rsidRPr="003A429A">
        <w:rPr>
          <w:color w:val="0D0D0D" w:themeColor="text1" w:themeTint="F2"/>
          <w:sz w:val="28"/>
          <w:szCs w:val="28"/>
          <w:lang w:val="uk-UA"/>
        </w:rPr>
        <w:t xml:space="preserve"> Я</w:t>
      </w:r>
    </w:p>
    <w:p w:rsidR="00C51769" w:rsidRPr="003A429A" w:rsidRDefault="00C51769" w:rsidP="000021D9">
      <w:pPr>
        <w:widowControl w:val="0"/>
        <w:ind w:firstLine="709"/>
        <w:rPr>
          <w:color w:val="0D0D0D" w:themeColor="text1" w:themeTint="F2"/>
          <w:sz w:val="28"/>
          <w:szCs w:val="28"/>
          <w:lang w:val="uk-UA"/>
        </w:rPr>
      </w:pPr>
      <w:r w:rsidRPr="003A429A">
        <w:rPr>
          <w:color w:val="0D0D0D" w:themeColor="text1" w:themeTint="F2"/>
          <w:sz w:val="28"/>
          <w:szCs w:val="28"/>
          <w:lang w:val="uk-UA"/>
        </w:rPr>
        <w:t xml:space="preserve">                                                   </w:t>
      </w:r>
    </w:p>
    <w:p w:rsidR="00C51769" w:rsidRPr="003A429A" w:rsidRDefault="00A81544" w:rsidP="000021D9">
      <w:pPr>
        <w:widowControl w:val="0"/>
        <w:tabs>
          <w:tab w:val="left" w:pos="900"/>
        </w:tabs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22 березня</w:t>
      </w:r>
      <w:r w:rsidR="00C51769" w:rsidRPr="003A429A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B513E" w:rsidRPr="003A429A">
        <w:rPr>
          <w:color w:val="0D0D0D" w:themeColor="text1" w:themeTint="F2"/>
          <w:sz w:val="28"/>
          <w:szCs w:val="28"/>
          <w:lang w:val="uk-UA"/>
        </w:rPr>
        <w:t>2018</w:t>
      </w:r>
      <w:r w:rsidR="00C51769" w:rsidRPr="003A429A">
        <w:rPr>
          <w:color w:val="0D0D0D" w:themeColor="text1" w:themeTint="F2"/>
          <w:sz w:val="28"/>
          <w:szCs w:val="28"/>
          <w:lang w:val="uk-UA"/>
        </w:rPr>
        <w:t xml:space="preserve"> року</w:t>
      </w:r>
      <w:r w:rsidR="00C51769" w:rsidRPr="003A429A">
        <w:rPr>
          <w:color w:val="0D0D0D" w:themeColor="text1" w:themeTint="F2"/>
          <w:sz w:val="28"/>
          <w:szCs w:val="28"/>
          <w:lang w:val="uk-UA"/>
        </w:rPr>
        <w:tab/>
        <w:t xml:space="preserve">                    </w:t>
      </w:r>
      <w:r w:rsidR="000021D9" w:rsidRPr="003A429A">
        <w:rPr>
          <w:color w:val="0D0D0D" w:themeColor="text1" w:themeTint="F2"/>
          <w:sz w:val="28"/>
          <w:szCs w:val="28"/>
          <w:lang w:val="uk-UA"/>
        </w:rPr>
        <w:t xml:space="preserve">          </w:t>
      </w:r>
      <w:r w:rsidR="00C51769" w:rsidRPr="003A429A">
        <w:rPr>
          <w:color w:val="0D0D0D" w:themeColor="text1" w:themeTint="F2"/>
          <w:sz w:val="28"/>
          <w:szCs w:val="28"/>
          <w:lang w:val="uk-UA"/>
        </w:rPr>
        <w:t xml:space="preserve">                                                </w:t>
      </w:r>
      <w:r>
        <w:rPr>
          <w:color w:val="0D0D0D" w:themeColor="text1" w:themeTint="F2"/>
          <w:sz w:val="28"/>
          <w:szCs w:val="28"/>
          <w:lang w:val="uk-UA"/>
        </w:rPr>
        <w:t xml:space="preserve">      </w:t>
      </w:r>
      <w:r w:rsidR="00C51769" w:rsidRPr="003A429A">
        <w:rPr>
          <w:color w:val="0D0D0D" w:themeColor="text1" w:themeTint="F2"/>
          <w:sz w:val="28"/>
          <w:szCs w:val="28"/>
          <w:lang w:val="uk-UA"/>
        </w:rPr>
        <w:t xml:space="preserve">№ </w:t>
      </w:r>
      <w:r>
        <w:rPr>
          <w:color w:val="0D0D0D" w:themeColor="text1" w:themeTint="F2"/>
          <w:sz w:val="28"/>
          <w:szCs w:val="28"/>
          <w:lang w:val="uk-UA"/>
        </w:rPr>
        <w:t>1186</w:t>
      </w:r>
    </w:p>
    <w:p w:rsidR="00C51769" w:rsidRPr="003A429A" w:rsidRDefault="00C51769" w:rsidP="000021D9">
      <w:pPr>
        <w:widowControl w:val="0"/>
        <w:ind w:firstLine="709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C51769" w:rsidRPr="003A429A" w:rsidRDefault="00C51769" w:rsidP="000021D9">
      <w:pPr>
        <w:widowControl w:val="0"/>
        <w:ind w:right="4393"/>
        <w:rPr>
          <w:color w:val="0D0D0D" w:themeColor="text1" w:themeTint="F2"/>
          <w:sz w:val="28"/>
          <w:szCs w:val="28"/>
          <w:lang w:val="uk-UA"/>
        </w:rPr>
      </w:pPr>
      <w:r w:rsidRPr="003A429A">
        <w:rPr>
          <w:color w:val="0D0D0D" w:themeColor="text1" w:themeTint="F2"/>
          <w:sz w:val="28"/>
          <w:szCs w:val="28"/>
          <w:lang w:val="uk-UA"/>
        </w:rPr>
        <w:t xml:space="preserve">Про затвердження </w:t>
      </w:r>
      <w:r w:rsidR="005C45C1" w:rsidRPr="003A429A">
        <w:rPr>
          <w:color w:val="0D0D0D" w:themeColor="text1" w:themeTint="F2"/>
          <w:sz w:val="28"/>
          <w:szCs w:val="28"/>
          <w:lang w:val="uk-UA"/>
        </w:rPr>
        <w:t xml:space="preserve">плану </w:t>
      </w:r>
      <w:r w:rsidR="00653275" w:rsidRPr="003A429A">
        <w:rPr>
          <w:color w:val="0D0D0D" w:themeColor="text1" w:themeTint="F2"/>
          <w:sz w:val="28"/>
          <w:szCs w:val="28"/>
          <w:lang w:val="uk-UA"/>
        </w:rPr>
        <w:t xml:space="preserve">проведення технічної </w:t>
      </w:r>
      <w:r w:rsidR="005C45C1" w:rsidRPr="003A429A">
        <w:rPr>
          <w:color w:val="0D0D0D" w:themeColor="text1" w:themeTint="F2"/>
          <w:sz w:val="28"/>
          <w:szCs w:val="28"/>
          <w:lang w:val="uk-UA"/>
        </w:rPr>
        <w:t>інвентаризації та паспортизації об’єктів благоустрою</w:t>
      </w:r>
      <w:r w:rsidR="00653275" w:rsidRPr="003A429A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5C45C1" w:rsidRPr="003A429A">
        <w:rPr>
          <w:color w:val="0D0D0D" w:themeColor="text1" w:themeTint="F2"/>
          <w:sz w:val="28"/>
          <w:szCs w:val="28"/>
          <w:lang w:val="uk-UA"/>
        </w:rPr>
        <w:t>смт Володимирець</w:t>
      </w:r>
    </w:p>
    <w:p w:rsidR="00C51769" w:rsidRPr="003A429A" w:rsidRDefault="00C51769" w:rsidP="000021D9">
      <w:pPr>
        <w:keepNext/>
        <w:widowControl w:val="0"/>
        <w:tabs>
          <w:tab w:val="left" w:pos="567"/>
          <w:tab w:val="left" w:pos="709"/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BA71CA" w:rsidRPr="003A429A" w:rsidRDefault="00C51769" w:rsidP="000021D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3A429A">
        <w:rPr>
          <w:color w:val="0D0D0D" w:themeColor="text1" w:themeTint="F2"/>
          <w:sz w:val="28"/>
          <w:szCs w:val="28"/>
        </w:rPr>
        <w:t xml:space="preserve">Керуючись ст. 26, ст. 59 Закону України «Про місцеве самоврядування в Україні», </w:t>
      </w:r>
      <w:r w:rsidR="00BA71CA" w:rsidRPr="003A429A">
        <w:rPr>
          <w:color w:val="0D0D0D" w:themeColor="text1" w:themeTint="F2"/>
          <w:sz w:val="28"/>
          <w:szCs w:val="28"/>
        </w:rPr>
        <w:t xml:space="preserve">ст. 18 </w:t>
      </w:r>
      <w:r w:rsidRPr="003A429A">
        <w:rPr>
          <w:color w:val="0D0D0D" w:themeColor="text1" w:themeTint="F2"/>
          <w:sz w:val="28"/>
          <w:szCs w:val="28"/>
        </w:rPr>
        <w:t>Закон</w:t>
      </w:r>
      <w:r w:rsidR="00BA71CA" w:rsidRPr="003A429A">
        <w:rPr>
          <w:color w:val="0D0D0D" w:themeColor="text1" w:themeTint="F2"/>
          <w:sz w:val="28"/>
          <w:szCs w:val="28"/>
        </w:rPr>
        <w:t>у</w:t>
      </w:r>
      <w:r w:rsidRPr="003A429A">
        <w:rPr>
          <w:color w:val="0D0D0D" w:themeColor="text1" w:themeTint="F2"/>
          <w:sz w:val="28"/>
          <w:szCs w:val="28"/>
        </w:rPr>
        <w:t xml:space="preserve"> України «Про </w:t>
      </w:r>
      <w:r w:rsidR="005C45C1" w:rsidRPr="003A429A">
        <w:rPr>
          <w:color w:val="0D0D0D" w:themeColor="text1" w:themeTint="F2"/>
          <w:sz w:val="28"/>
          <w:szCs w:val="28"/>
        </w:rPr>
        <w:t>благоустрій населених пунктів</w:t>
      </w:r>
      <w:r w:rsidRPr="003A429A">
        <w:rPr>
          <w:color w:val="0D0D0D" w:themeColor="text1" w:themeTint="F2"/>
          <w:sz w:val="28"/>
          <w:szCs w:val="28"/>
        </w:rPr>
        <w:t>»,</w:t>
      </w:r>
      <w:r w:rsidR="00C47DFE" w:rsidRPr="003A429A">
        <w:rPr>
          <w:color w:val="0D0D0D" w:themeColor="text1" w:themeTint="F2"/>
          <w:sz w:val="28"/>
          <w:szCs w:val="28"/>
        </w:rPr>
        <w:t xml:space="preserve"> Інструкцією</w:t>
      </w:r>
      <w:r w:rsidR="00E54510" w:rsidRPr="003A429A">
        <w:rPr>
          <w:color w:val="0D0D0D" w:themeColor="text1" w:themeTint="F2"/>
          <w:sz w:val="28"/>
          <w:szCs w:val="28"/>
        </w:rPr>
        <w:t xml:space="preserve"> з проведення технічної інвентаризації та паспортизації</w:t>
      </w:r>
      <w:r w:rsidR="006B19B6" w:rsidRPr="003A429A">
        <w:rPr>
          <w:color w:val="0D0D0D" w:themeColor="text1" w:themeTint="F2"/>
          <w:sz w:val="28"/>
          <w:szCs w:val="28"/>
        </w:rPr>
        <w:t xml:space="preserve"> об’єктів благоустрою населених пунктів, затвердженою н</w:t>
      </w:r>
      <w:r w:rsidR="006B19B6" w:rsidRPr="003A429A">
        <w:rPr>
          <w:bCs/>
          <w:color w:val="0D0D0D" w:themeColor="text1" w:themeTint="F2"/>
          <w:sz w:val="28"/>
          <w:szCs w:val="28"/>
        </w:rPr>
        <w:t>аказом Міністерства регіонального розвитку, будівництва та житлово-комунального господарства України від 29.10.2012 р. № 550</w:t>
      </w:r>
      <w:r w:rsidR="00C92445" w:rsidRPr="003A429A">
        <w:rPr>
          <w:bCs/>
          <w:color w:val="0D0D0D" w:themeColor="text1" w:themeTint="F2"/>
          <w:sz w:val="28"/>
          <w:szCs w:val="28"/>
        </w:rPr>
        <w:t xml:space="preserve">, </w:t>
      </w:r>
      <w:r w:rsidR="001721DF" w:rsidRPr="003A429A">
        <w:rPr>
          <w:bCs/>
          <w:color w:val="0D0D0D" w:themeColor="text1" w:themeTint="F2"/>
          <w:sz w:val="28"/>
          <w:szCs w:val="28"/>
        </w:rPr>
        <w:t xml:space="preserve">з метою </w:t>
      </w:r>
      <w:r w:rsidR="003A429A" w:rsidRPr="003A429A">
        <w:rPr>
          <w:color w:val="0D0D0D" w:themeColor="text1" w:themeTint="F2"/>
          <w:sz w:val="28"/>
          <w:szCs w:val="28"/>
        </w:rPr>
        <w:t xml:space="preserve">виконання постанови Володимирецького районного суду Рівненської області від 28.11.2017 р. у справі №556/1657/17 та </w:t>
      </w:r>
      <w:r w:rsidR="001721DF" w:rsidRPr="003A429A">
        <w:rPr>
          <w:bCs/>
          <w:color w:val="0D0D0D" w:themeColor="text1" w:themeTint="F2"/>
          <w:sz w:val="28"/>
          <w:szCs w:val="28"/>
        </w:rPr>
        <w:t xml:space="preserve">належного утримання об’єктів </w:t>
      </w:r>
      <w:r w:rsidR="005B1E16" w:rsidRPr="003A429A">
        <w:rPr>
          <w:color w:val="0D0D0D" w:themeColor="text1" w:themeTint="F2"/>
          <w:sz w:val="28"/>
          <w:szCs w:val="28"/>
        </w:rPr>
        <w:t xml:space="preserve">благоустрою (їх частин), що є власністю територіальної громади селища Володимирець, </w:t>
      </w:r>
    </w:p>
    <w:p w:rsidR="00C51769" w:rsidRPr="003A429A" w:rsidRDefault="00C51769" w:rsidP="000021D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C51769" w:rsidRPr="003A429A" w:rsidRDefault="00C51769" w:rsidP="000021D9">
      <w:pPr>
        <w:widowControl w:val="0"/>
        <w:ind w:firstLine="709"/>
        <w:jc w:val="center"/>
        <w:rPr>
          <w:bCs/>
          <w:color w:val="0D0D0D" w:themeColor="text1" w:themeTint="F2"/>
          <w:sz w:val="28"/>
          <w:szCs w:val="28"/>
          <w:lang w:val="uk-UA"/>
        </w:rPr>
      </w:pPr>
      <w:r w:rsidRPr="003A429A">
        <w:rPr>
          <w:bCs/>
          <w:color w:val="0D0D0D" w:themeColor="text1" w:themeTint="F2"/>
          <w:sz w:val="28"/>
          <w:szCs w:val="28"/>
          <w:lang w:val="uk-UA"/>
        </w:rPr>
        <w:t>СЕЛИЩНА РАДА</w:t>
      </w:r>
    </w:p>
    <w:p w:rsidR="00C51769" w:rsidRPr="003A429A" w:rsidRDefault="00C51769" w:rsidP="000021D9">
      <w:pPr>
        <w:widowControl w:val="0"/>
        <w:ind w:firstLine="709"/>
        <w:jc w:val="center"/>
        <w:rPr>
          <w:bCs/>
          <w:color w:val="0D0D0D" w:themeColor="text1" w:themeTint="F2"/>
          <w:sz w:val="28"/>
          <w:szCs w:val="28"/>
          <w:lang w:val="uk-UA"/>
        </w:rPr>
      </w:pPr>
      <w:r w:rsidRPr="003A429A">
        <w:rPr>
          <w:bCs/>
          <w:color w:val="0D0D0D" w:themeColor="text1" w:themeTint="F2"/>
          <w:sz w:val="28"/>
          <w:szCs w:val="28"/>
          <w:lang w:val="uk-UA"/>
        </w:rPr>
        <w:t>В И Р І Ш И Л А:</w:t>
      </w:r>
    </w:p>
    <w:p w:rsidR="00C51769" w:rsidRPr="003A429A" w:rsidRDefault="00C51769" w:rsidP="000021D9">
      <w:pPr>
        <w:widowControl w:val="0"/>
        <w:ind w:firstLine="709"/>
        <w:jc w:val="center"/>
        <w:rPr>
          <w:bCs/>
          <w:color w:val="0D0D0D" w:themeColor="text1" w:themeTint="F2"/>
          <w:sz w:val="28"/>
          <w:szCs w:val="28"/>
          <w:lang w:val="uk-UA"/>
        </w:rPr>
      </w:pPr>
    </w:p>
    <w:p w:rsidR="00991764" w:rsidRPr="003A429A" w:rsidRDefault="00991764" w:rsidP="000021D9">
      <w:pPr>
        <w:pStyle w:val="a8"/>
        <w:widowControl w:val="0"/>
        <w:numPr>
          <w:ilvl w:val="0"/>
          <w:numId w:val="22"/>
        </w:numPr>
        <w:tabs>
          <w:tab w:val="clear" w:pos="1211"/>
          <w:tab w:val="left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Затвердити </w:t>
      </w:r>
      <w:r w:rsidR="00D17436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 проведення технічної інвентаризації та паспортизації об’єктів благоустрою смт Володимирець </w:t>
      </w:r>
      <w:r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(додається). </w:t>
      </w:r>
    </w:p>
    <w:p w:rsidR="00D17436" w:rsidRPr="003A429A" w:rsidRDefault="005D6190" w:rsidP="000021D9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clear" w:pos="1211"/>
          <w:tab w:val="left" w:pos="0"/>
          <w:tab w:val="left" w:pos="540"/>
          <w:tab w:val="left" w:pos="851"/>
          <w:tab w:val="left" w:pos="9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Рекомендувати п</w:t>
      </w:r>
      <w:r w:rsidR="00D17436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ідприємствам, установам, організаціям </w:t>
      </w:r>
      <w:r w:rsidR="0065259A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усіх форм власності </w:t>
      </w:r>
      <w:r w:rsidR="00D17436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провести </w:t>
      </w:r>
      <w:r w:rsidR="00C84C76" w:rsidRPr="003A429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технічну</w:t>
      </w:r>
      <w:r w:rsidR="00D17436" w:rsidRPr="003A429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інвентаризацію та паспортизацію закріплених за ними об'єктів</w:t>
      </w:r>
      <w:r w:rsidR="00C84C76" w:rsidRPr="003A429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благоустрою </w:t>
      </w:r>
      <w:r w:rsidR="00D17436" w:rsidRPr="003A429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(їх </w:t>
      </w:r>
      <w:r w:rsidR="00C84C76" w:rsidRPr="003A429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частин).</w:t>
      </w:r>
    </w:p>
    <w:p w:rsidR="00D17436" w:rsidRPr="003A429A" w:rsidRDefault="00701C83" w:rsidP="000021D9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clear" w:pos="1211"/>
          <w:tab w:val="left" w:pos="0"/>
          <w:tab w:val="left" w:pos="540"/>
          <w:tab w:val="left" w:pos="851"/>
          <w:tab w:val="left" w:pos="9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Балансоутримувачу</w:t>
      </w:r>
      <w:r w:rsidR="00376BAD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об’єктів благоустрою</w:t>
      </w:r>
      <w:r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76BAD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(їх частин), що є власністю територіальної громади сели</w:t>
      </w:r>
      <w:r w:rsidR="0078130F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ща Володимирець – Комунальному підприємству по водопостачанню та водовідведенню «Аква», за результатом </w:t>
      </w:r>
      <w:r w:rsidR="00F11565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проведення технічної інвентаризації та паспортизації об’єктів благоустрою</w:t>
      </w:r>
      <w:r w:rsidR="002516E1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202EE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встановленому законодавством порядку </w:t>
      </w:r>
      <w:r w:rsidR="002516E1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вирішити питання щодо обліку та утримання </w:t>
      </w:r>
      <w:r w:rsidR="004202EE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виявлених на об’єктах благоустрою, що перебувають у власності територіальної громади селища Володимирець</w:t>
      </w:r>
      <w:r w:rsidR="00AD2915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елементів благоустрою, </w:t>
      </w:r>
      <w:r w:rsidR="00E17A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тому числі – обладнання (елементів) дитячих майданчиків, </w:t>
      </w:r>
      <w:r w:rsidR="00AD2915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власник яких невідомий.</w:t>
      </w:r>
    </w:p>
    <w:p w:rsidR="00AD2915" w:rsidRPr="003A429A" w:rsidRDefault="009E35DD" w:rsidP="000021D9">
      <w:pPr>
        <w:pStyle w:val="a8"/>
        <w:widowControl w:val="0"/>
        <w:numPr>
          <w:ilvl w:val="0"/>
          <w:numId w:val="22"/>
        </w:numPr>
        <w:tabs>
          <w:tab w:val="clear" w:pos="1211"/>
          <w:tab w:val="left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Постійній комісії селищної ради </w:t>
      </w:r>
      <w:r w:rsidRPr="003A429A">
        <w:rPr>
          <w:rStyle w:val="rvts9"/>
          <w:rFonts w:ascii="Times New Roman" w:hAnsi="Times New Roman" w:cs="Times New Roman"/>
          <w:color w:val="0D0D0D" w:themeColor="text1" w:themeTint="F2"/>
          <w:sz w:val="28"/>
          <w:szCs w:val="28"/>
        </w:rPr>
        <w:t>з питань</w:t>
      </w:r>
      <w:r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бюджету, фінансів, податкової політики, молоді та спорту, під час розгляду питання про внесення змін до селищного бюджету на 2018 рік, передбачити кошти на </w:t>
      </w:r>
      <w:r w:rsidR="00B9017D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проведення технічної </w:t>
      </w:r>
      <w:r w:rsidR="00AE6017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інвентаризації </w:t>
      </w:r>
      <w:r w:rsidR="000021D9"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паспортизації об’єктів благоустрою (їх частин), що є власністю територіальної громади селища Володимирець.</w:t>
      </w:r>
    </w:p>
    <w:p w:rsidR="00C51769" w:rsidRPr="003A429A" w:rsidRDefault="00C51769" w:rsidP="000021D9">
      <w:pPr>
        <w:pStyle w:val="a8"/>
        <w:widowControl w:val="0"/>
        <w:numPr>
          <w:ilvl w:val="0"/>
          <w:numId w:val="22"/>
        </w:numPr>
        <w:tabs>
          <w:tab w:val="clear" w:pos="1211"/>
          <w:tab w:val="left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Style w:val="rvts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4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Контроль за виконанням цього рішення покласти на </w:t>
      </w:r>
      <w:r w:rsidRPr="003A429A">
        <w:rPr>
          <w:rStyle w:val="rvts9"/>
          <w:rFonts w:ascii="Times New Roman" w:hAnsi="Times New Roman" w:cs="Times New Roman"/>
          <w:color w:val="0D0D0D" w:themeColor="text1" w:themeTint="F2"/>
          <w:sz w:val="28"/>
          <w:szCs w:val="28"/>
        </w:rPr>
        <w:t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 (голова – С. Буравський).</w:t>
      </w:r>
    </w:p>
    <w:p w:rsidR="00C51769" w:rsidRPr="003A429A" w:rsidRDefault="00C51769" w:rsidP="000021D9">
      <w:pPr>
        <w:widowControl w:val="0"/>
        <w:tabs>
          <w:tab w:val="left" w:pos="0"/>
          <w:tab w:val="left" w:pos="540"/>
          <w:tab w:val="left" w:pos="90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C51769" w:rsidRPr="003A429A" w:rsidRDefault="00C51769" w:rsidP="00D960B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  <w:r w:rsidRPr="003A429A">
        <w:rPr>
          <w:color w:val="0D0D0D" w:themeColor="text1" w:themeTint="F2"/>
          <w:sz w:val="28"/>
          <w:szCs w:val="28"/>
        </w:rPr>
        <w:t xml:space="preserve">СЕЛИЩНИЙ ГОЛОВА       </w:t>
      </w:r>
      <w:r w:rsidRPr="003A429A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3A429A">
        <w:rPr>
          <w:color w:val="0D0D0D" w:themeColor="text1" w:themeTint="F2"/>
          <w:sz w:val="28"/>
          <w:szCs w:val="28"/>
        </w:rPr>
        <w:t xml:space="preserve">    </w:t>
      </w:r>
      <w:r w:rsidR="00D960B0">
        <w:rPr>
          <w:color w:val="0D0D0D" w:themeColor="text1" w:themeTint="F2"/>
          <w:sz w:val="28"/>
          <w:szCs w:val="28"/>
          <w:lang w:val="uk-UA"/>
        </w:rPr>
        <w:t xml:space="preserve">            </w:t>
      </w:r>
      <w:r w:rsidRPr="003A429A">
        <w:rPr>
          <w:color w:val="0D0D0D" w:themeColor="text1" w:themeTint="F2"/>
          <w:sz w:val="28"/>
          <w:szCs w:val="28"/>
        </w:rPr>
        <w:t xml:space="preserve">       </w:t>
      </w:r>
      <w:r w:rsidRPr="003A429A">
        <w:rPr>
          <w:color w:val="0D0D0D" w:themeColor="text1" w:themeTint="F2"/>
          <w:sz w:val="28"/>
          <w:szCs w:val="28"/>
          <w:lang w:val="uk-UA"/>
        </w:rPr>
        <w:t xml:space="preserve">   </w:t>
      </w:r>
      <w:r w:rsidRPr="003A429A">
        <w:rPr>
          <w:color w:val="0D0D0D" w:themeColor="text1" w:themeTint="F2"/>
          <w:sz w:val="28"/>
          <w:szCs w:val="28"/>
        </w:rPr>
        <w:t xml:space="preserve">              </w:t>
      </w:r>
      <w:r w:rsidRPr="003A429A">
        <w:rPr>
          <w:color w:val="0D0D0D" w:themeColor="text1" w:themeTint="F2"/>
          <w:sz w:val="28"/>
          <w:szCs w:val="28"/>
          <w:lang w:val="uk-UA"/>
        </w:rPr>
        <w:t xml:space="preserve">      </w:t>
      </w:r>
      <w:r w:rsidRPr="003A429A">
        <w:rPr>
          <w:color w:val="0D0D0D" w:themeColor="text1" w:themeTint="F2"/>
          <w:sz w:val="28"/>
          <w:szCs w:val="28"/>
        </w:rPr>
        <w:t xml:space="preserve">  </w:t>
      </w:r>
      <w:r w:rsidRPr="003A429A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3A429A">
        <w:rPr>
          <w:color w:val="0D0D0D" w:themeColor="text1" w:themeTint="F2"/>
          <w:sz w:val="28"/>
          <w:szCs w:val="28"/>
        </w:rPr>
        <w:t xml:space="preserve">         О. ОСМОЛОВИЧ</w:t>
      </w:r>
    </w:p>
    <w:p w:rsidR="00C51769" w:rsidRPr="003A429A" w:rsidRDefault="00C51769" w:rsidP="000021D9">
      <w:pPr>
        <w:widowControl w:val="0"/>
        <w:tabs>
          <w:tab w:val="left" w:pos="0"/>
          <w:tab w:val="left" w:pos="540"/>
          <w:tab w:val="left" w:pos="900"/>
          <w:tab w:val="left" w:pos="1134"/>
        </w:tabs>
        <w:ind w:firstLine="709"/>
        <w:jc w:val="both"/>
        <w:rPr>
          <w:i/>
          <w:color w:val="0D0D0D" w:themeColor="text1" w:themeTint="F2"/>
          <w:sz w:val="28"/>
          <w:szCs w:val="28"/>
          <w:lang w:val="uk-UA"/>
        </w:rPr>
      </w:pPr>
    </w:p>
    <w:p w:rsidR="00C51769" w:rsidRPr="003A429A" w:rsidRDefault="00C51769" w:rsidP="000021D9">
      <w:pPr>
        <w:widowControl w:val="0"/>
        <w:tabs>
          <w:tab w:val="left" w:pos="0"/>
          <w:tab w:val="left" w:pos="540"/>
          <w:tab w:val="left" w:pos="900"/>
          <w:tab w:val="left" w:pos="1134"/>
        </w:tabs>
        <w:ind w:firstLine="709"/>
        <w:jc w:val="both"/>
        <w:rPr>
          <w:i/>
          <w:color w:val="0D0D0D" w:themeColor="text1" w:themeTint="F2"/>
          <w:sz w:val="28"/>
          <w:szCs w:val="28"/>
          <w:lang w:val="uk-UA"/>
        </w:rPr>
      </w:pPr>
    </w:p>
    <w:p w:rsidR="00E1314A" w:rsidRPr="003A429A" w:rsidRDefault="00E1314A" w:rsidP="000021D9">
      <w:pPr>
        <w:widowControl w:val="0"/>
        <w:tabs>
          <w:tab w:val="left" w:pos="540"/>
          <w:tab w:val="left" w:pos="900"/>
          <w:tab w:val="left" w:pos="1134"/>
        </w:tabs>
        <w:ind w:firstLine="709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946CF" w:rsidRDefault="00E946CF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AB1BAD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CA707E" w:rsidRDefault="007E1ED5" w:rsidP="00CA707E">
      <w:pPr>
        <w:widowControl w:val="0"/>
        <w:tabs>
          <w:tab w:val="left" w:pos="540"/>
          <w:tab w:val="left" w:pos="900"/>
          <w:tab w:val="left" w:pos="1134"/>
        </w:tabs>
        <w:ind w:left="5245"/>
        <w:rPr>
          <w:color w:val="0D0D0D" w:themeColor="text1" w:themeTint="F2"/>
          <w:sz w:val="22"/>
          <w:szCs w:val="22"/>
          <w:lang w:val="uk-UA"/>
        </w:rPr>
      </w:pPr>
      <w:r w:rsidRPr="0084329F">
        <w:rPr>
          <w:color w:val="0D0D0D" w:themeColor="text1" w:themeTint="F2"/>
          <w:sz w:val="22"/>
          <w:szCs w:val="22"/>
          <w:lang w:val="uk-UA"/>
        </w:rPr>
        <w:lastRenderedPageBreak/>
        <w:t>Додаток № 1</w:t>
      </w:r>
    </w:p>
    <w:p w:rsidR="007E1ED5" w:rsidRPr="0084329F" w:rsidRDefault="007E1ED5" w:rsidP="00CA707E">
      <w:pPr>
        <w:widowControl w:val="0"/>
        <w:tabs>
          <w:tab w:val="left" w:pos="540"/>
          <w:tab w:val="left" w:pos="900"/>
          <w:tab w:val="left" w:pos="1134"/>
        </w:tabs>
        <w:ind w:left="5245"/>
        <w:rPr>
          <w:color w:val="0D0D0D" w:themeColor="text1" w:themeTint="F2"/>
          <w:sz w:val="22"/>
          <w:szCs w:val="22"/>
          <w:lang w:val="uk-UA"/>
        </w:rPr>
      </w:pPr>
      <w:r w:rsidRPr="0084329F">
        <w:rPr>
          <w:color w:val="0D0D0D" w:themeColor="text1" w:themeTint="F2"/>
          <w:sz w:val="22"/>
          <w:szCs w:val="22"/>
          <w:lang w:val="uk-UA"/>
        </w:rPr>
        <w:t xml:space="preserve">до рішення Володимирецької </w:t>
      </w:r>
      <w:r w:rsidR="00D2503D" w:rsidRPr="0084329F">
        <w:rPr>
          <w:color w:val="0D0D0D" w:themeColor="text1" w:themeTint="F2"/>
          <w:sz w:val="22"/>
          <w:szCs w:val="22"/>
          <w:lang w:val="uk-UA"/>
        </w:rPr>
        <w:t xml:space="preserve">селищної ради від </w:t>
      </w:r>
      <w:r w:rsidR="00A81544">
        <w:rPr>
          <w:color w:val="0D0D0D" w:themeColor="text1" w:themeTint="F2"/>
          <w:sz w:val="22"/>
          <w:szCs w:val="22"/>
          <w:lang w:val="uk-UA"/>
        </w:rPr>
        <w:t>22.03.2018 р. №</w:t>
      </w:r>
      <w:r w:rsidR="00CA707E">
        <w:rPr>
          <w:color w:val="0D0D0D" w:themeColor="text1" w:themeTint="F2"/>
          <w:sz w:val="22"/>
          <w:szCs w:val="22"/>
          <w:lang w:val="uk-UA"/>
        </w:rPr>
        <w:t>1186</w:t>
      </w:r>
    </w:p>
    <w:p w:rsidR="00AB1BAD" w:rsidRPr="003A429A" w:rsidRDefault="00AB1BAD" w:rsidP="00D960B0">
      <w:pPr>
        <w:widowControl w:val="0"/>
        <w:tabs>
          <w:tab w:val="left" w:pos="540"/>
          <w:tab w:val="left" w:pos="900"/>
          <w:tab w:val="left" w:pos="1134"/>
        </w:tabs>
        <w:ind w:left="4253"/>
        <w:rPr>
          <w:color w:val="0D0D0D" w:themeColor="text1" w:themeTint="F2"/>
          <w:sz w:val="28"/>
          <w:szCs w:val="28"/>
          <w:lang w:val="uk-UA"/>
        </w:rPr>
      </w:pPr>
    </w:p>
    <w:p w:rsidR="00E1314A" w:rsidRPr="0084329F" w:rsidRDefault="00D960B0" w:rsidP="00D960B0">
      <w:pPr>
        <w:pStyle w:val="a8"/>
        <w:widowControl w:val="0"/>
        <w:ind w:firstLine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432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План проведення технічної інвентаризації та паспортизації об’єктів благоустрою смт Володимирець</w:t>
      </w:r>
    </w:p>
    <w:p w:rsidR="00AB1BAD" w:rsidRPr="0084329F" w:rsidRDefault="00AB1BAD" w:rsidP="00D960B0">
      <w:pPr>
        <w:pStyle w:val="a8"/>
        <w:widowControl w:val="0"/>
        <w:ind w:firstLine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613"/>
        <w:gridCol w:w="1241"/>
      </w:tblGrid>
      <w:tr w:rsidR="00AB1BAD" w:rsidRPr="0084329F" w:rsidTr="00DE5361">
        <w:tc>
          <w:tcPr>
            <w:tcW w:w="8613" w:type="dxa"/>
          </w:tcPr>
          <w:p w:rsidR="00AB1BAD" w:rsidRPr="0084329F" w:rsidRDefault="00997E8D" w:rsidP="00AB3A5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4329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</w:t>
            </w:r>
            <w:r w:rsidR="00595E6E" w:rsidRPr="0084329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б’єкт </w:t>
            </w:r>
            <w:r w:rsidR="005111C5" w:rsidRPr="0084329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благоустрою</w:t>
            </w:r>
          </w:p>
        </w:tc>
        <w:tc>
          <w:tcPr>
            <w:tcW w:w="1241" w:type="dxa"/>
          </w:tcPr>
          <w:p w:rsidR="00AB1BAD" w:rsidRPr="0084329F" w:rsidRDefault="00997E8D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4329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</w:t>
            </w:r>
            <w:r w:rsidR="007A07F9" w:rsidRPr="0084329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ермін</w:t>
            </w: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035F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E5361">
              <w:rPr>
                <w:rFonts w:ascii="Times New Roman" w:hAnsi="Times New Roman" w:cs="Times New Roman"/>
                <w:sz w:val="24"/>
                <w:szCs w:val="24"/>
              </w:rPr>
              <w:t>Каналізаційний колектор по пров. Б.Хмельницького – вул. Грушевського в смт. Володимирець Рівненської області</w:t>
            </w:r>
          </w:p>
        </w:tc>
        <w:tc>
          <w:tcPr>
            <w:tcW w:w="1241" w:type="dxa"/>
            <w:vMerge w:val="restart"/>
            <w:vAlign w:val="center"/>
          </w:tcPr>
          <w:p w:rsidR="00183536" w:rsidRPr="0084329F" w:rsidRDefault="00183536" w:rsidP="0018353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4329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2018 рік</w:t>
            </w: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Закритий дощовий колектор по вул. Повстанців в смт. Володимирець</w:t>
            </w:r>
          </w:p>
        </w:tc>
        <w:tc>
          <w:tcPr>
            <w:tcW w:w="1241" w:type="dxa"/>
            <w:vMerge/>
          </w:tcPr>
          <w:p w:rsidR="00183536" w:rsidRPr="0084329F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28708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Дитячий майданчик (паркова зона)</w:t>
            </w:r>
          </w:p>
        </w:tc>
        <w:tc>
          <w:tcPr>
            <w:tcW w:w="1241" w:type="dxa"/>
            <w:vMerge/>
          </w:tcPr>
          <w:p w:rsidR="00183536" w:rsidRPr="0084329F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28708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Дитячий майданчик (вул. 1 Травня)</w:t>
            </w:r>
          </w:p>
        </w:tc>
        <w:tc>
          <w:tcPr>
            <w:tcW w:w="1241" w:type="dxa"/>
            <w:vMerge/>
          </w:tcPr>
          <w:p w:rsidR="00183536" w:rsidRPr="0084329F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28708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Дитячий майданчик (</w:t>
            </w:r>
            <w:proofErr w:type="spellStart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прибуд</w:t>
            </w:r>
            <w:proofErr w:type="spellEnd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територія вул. Повстанців 56, вул. Миру 8)</w:t>
            </w:r>
          </w:p>
        </w:tc>
        <w:tc>
          <w:tcPr>
            <w:tcW w:w="1241" w:type="dxa"/>
            <w:vMerge/>
          </w:tcPr>
          <w:p w:rsidR="00183536" w:rsidRPr="0084329F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28708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proofErr w:type="gramStart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Дитячий </w:t>
            </w:r>
            <w:proofErr w:type="spellStart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майданчик</w:t>
            </w:r>
            <w:proofErr w:type="spellEnd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вул</w:t>
            </w:r>
            <w:proofErr w:type="spellEnd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.</w:t>
            </w:r>
            <w:proofErr w:type="gramEnd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Кобилянської</w:t>
            </w:r>
            <w:proofErr w:type="spellEnd"/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241" w:type="dxa"/>
            <w:vMerge/>
          </w:tcPr>
          <w:p w:rsidR="00183536" w:rsidRPr="0084329F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Паркова зона (парк, водойма)</w:t>
            </w:r>
          </w:p>
        </w:tc>
        <w:tc>
          <w:tcPr>
            <w:tcW w:w="1241" w:type="dxa"/>
            <w:vMerge/>
          </w:tcPr>
          <w:p w:rsidR="00183536" w:rsidRPr="0084329F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Братське кладовище</w:t>
            </w:r>
          </w:p>
        </w:tc>
        <w:tc>
          <w:tcPr>
            <w:tcW w:w="1241" w:type="dxa"/>
            <w:vMerge/>
          </w:tcPr>
          <w:p w:rsidR="00183536" w:rsidRPr="0084329F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183536" w:rsidRPr="0084329F" w:rsidTr="00DE5361">
        <w:tc>
          <w:tcPr>
            <w:tcW w:w="8613" w:type="dxa"/>
          </w:tcPr>
          <w:p w:rsidR="00183536" w:rsidRPr="00DE5361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E536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Центральна площа (бульвар ім. Т.Г. Шевченка) </w:t>
            </w:r>
          </w:p>
        </w:tc>
        <w:tc>
          <w:tcPr>
            <w:tcW w:w="1241" w:type="dxa"/>
            <w:vMerge/>
          </w:tcPr>
          <w:p w:rsidR="00183536" w:rsidRPr="0084329F" w:rsidRDefault="00183536" w:rsidP="00D960B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A331B" w:rsidRPr="0084329F" w:rsidRDefault="005A331B" w:rsidP="0084329F">
      <w:pPr>
        <w:pStyle w:val="a8"/>
        <w:widowControl w:val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4329F" w:rsidRPr="0084329F" w:rsidRDefault="0084329F" w:rsidP="0084329F">
      <w:pPr>
        <w:pStyle w:val="a8"/>
        <w:widowContro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4329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Спеціаліст ІІ категорії з юридичних питань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</w:t>
      </w:r>
      <w:r w:rsidRPr="0084329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Л.П. Блищик</w:t>
      </w:r>
    </w:p>
    <w:sectPr w:rsidR="0084329F" w:rsidRPr="0084329F" w:rsidSect="00A73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48" w:rsidRDefault="00990F48" w:rsidP="00817C3C">
      <w:r>
        <w:separator/>
      </w:r>
    </w:p>
  </w:endnote>
  <w:endnote w:type="continuationSeparator" w:id="0">
    <w:p w:rsidR="00990F48" w:rsidRDefault="00990F48" w:rsidP="0081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48" w:rsidRDefault="00990F48" w:rsidP="00817C3C">
      <w:r>
        <w:separator/>
      </w:r>
    </w:p>
  </w:footnote>
  <w:footnote w:type="continuationSeparator" w:id="0">
    <w:p w:rsidR="00990F48" w:rsidRDefault="00990F48" w:rsidP="00817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E033C3"/>
    <w:multiLevelType w:val="multilevel"/>
    <w:tmpl w:val="C3787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DB39F9"/>
    <w:multiLevelType w:val="hybridMultilevel"/>
    <w:tmpl w:val="505C5F5E"/>
    <w:lvl w:ilvl="0" w:tplc="691E381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9"/>
  </w:num>
  <w:num w:numId="10">
    <w:abstractNumId w:val="23"/>
  </w:num>
  <w:num w:numId="11">
    <w:abstractNumId w:val="7"/>
  </w:num>
  <w:num w:numId="12">
    <w:abstractNumId w:val="6"/>
  </w:num>
  <w:num w:numId="13">
    <w:abstractNumId w:val="18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  <w:num w:numId="22">
    <w:abstractNumId w:val="12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14"/>
    <w:rsid w:val="000021D9"/>
    <w:rsid w:val="00005F98"/>
    <w:rsid w:val="0002456F"/>
    <w:rsid w:val="000277F6"/>
    <w:rsid w:val="00030621"/>
    <w:rsid w:val="000310E0"/>
    <w:rsid w:val="000311B2"/>
    <w:rsid w:val="0003173C"/>
    <w:rsid w:val="00035F42"/>
    <w:rsid w:val="00042064"/>
    <w:rsid w:val="00043B5C"/>
    <w:rsid w:val="00060AEF"/>
    <w:rsid w:val="00060E56"/>
    <w:rsid w:val="00070F90"/>
    <w:rsid w:val="000810D3"/>
    <w:rsid w:val="000B4A25"/>
    <w:rsid w:val="000B4B38"/>
    <w:rsid w:val="000C3A4D"/>
    <w:rsid w:val="000C56CF"/>
    <w:rsid w:val="000C753A"/>
    <w:rsid w:val="00104491"/>
    <w:rsid w:val="001120D0"/>
    <w:rsid w:val="00122714"/>
    <w:rsid w:val="001314E7"/>
    <w:rsid w:val="001338AC"/>
    <w:rsid w:val="00146C91"/>
    <w:rsid w:val="00151CE6"/>
    <w:rsid w:val="0015227B"/>
    <w:rsid w:val="00157148"/>
    <w:rsid w:val="00157CEB"/>
    <w:rsid w:val="001675E3"/>
    <w:rsid w:val="00170E23"/>
    <w:rsid w:val="001721DF"/>
    <w:rsid w:val="00183536"/>
    <w:rsid w:val="00186734"/>
    <w:rsid w:val="001962B7"/>
    <w:rsid w:val="001A1511"/>
    <w:rsid w:val="001A2E67"/>
    <w:rsid w:val="001A787A"/>
    <w:rsid w:val="001B37D9"/>
    <w:rsid w:val="001C0098"/>
    <w:rsid w:val="001D52A9"/>
    <w:rsid w:val="001D796F"/>
    <w:rsid w:val="001E185D"/>
    <w:rsid w:val="001E35AE"/>
    <w:rsid w:val="00202A11"/>
    <w:rsid w:val="00205084"/>
    <w:rsid w:val="002234B5"/>
    <w:rsid w:val="00224E43"/>
    <w:rsid w:val="00226F44"/>
    <w:rsid w:val="002279FB"/>
    <w:rsid w:val="00236737"/>
    <w:rsid w:val="002372E3"/>
    <w:rsid w:val="00237878"/>
    <w:rsid w:val="00237D25"/>
    <w:rsid w:val="0024086D"/>
    <w:rsid w:val="00240C7C"/>
    <w:rsid w:val="002412A8"/>
    <w:rsid w:val="00241772"/>
    <w:rsid w:val="002516E1"/>
    <w:rsid w:val="00256ADD"/>
    <w:rsid w:val="00265E4D"/>
    <w:rsid w:val="00266604"/>
    <w:rsid w:val="00281758"/>
    <w:rsid w:val="00284809"/>
    <w:rsid w:val="002A1676"/>
    <w:rsid w:val="002A19BE"/>
    <w:rsid w:val="002A2F66"/>
    <w:rsid w:val="002A49FB"/>
    <w:rsid w:val="002B26A1"/>
    <w:rsid w:val="002B513E"/>
    <w:rsid w:val="002C2532"/>
    <w:rsid w:val="002D0B0A"/>
    <w:rsid w:val="002D1169"/>
    <w:rsid w:val="002D155F"/>
    <w:rsid w:val="002D4B45"/>
    <w:rsid w:val="002D7311"/>
    <w:rsid w:val="002D7E52"/>
    <w:rsid w:val="002E4E2E"/>
    <w:rsid w:val="002E7D7E"/>
    <w:rsid w:val="00324104"/>
    <w:rsid w:val="0033009B"/>
    <w:rsid w:val="003568BE"/>
    <w:rsid w:val="00367696"/>
    <w:rsid w:val="003707A5"/>
    <w:rsid w:val="00376BAD"/>
    <w:rsid w:val="00377763"/>
    <w:rsid w:val="00394D40"/>
    <w:rsid w:val="003A429A"/>
    <w:rsid w:val="003B30A8"/>
    <w:rsid w:val="003B3EF0"/>
    <w:rsid w:val="003F43D1"/>
    <w:rsid w:val="003F51B8"/>
    <w:rsid w:val="003F62F0"/>
    <w:rsid w:val="003F6A52"/>
    <w:rsid w:val="004057F7"/>
    <w:rsid w:val="004078B7"/>
    <w:rsid w:val="004202EE"/>
    <w:rsid w:val="00444740"/>
    <w:rsid w:val="00451154"/>
    <w:rsid w:val="0045432A"/>
    <w:rsid w:val="00462F8C"/>
    <w:rsid w:val="004639A9"/>
    <w:rsid w:val="00466802"/>
    <w:rsid w:val="00473021"/>
    <w:rsid w:val="00475D13"/>
    <w:rsid w:val="00475DFD"/>
    <w:rsid w:val="00475E5A"/>
    <w:rsid w:val="00480E6D"/>
    <w:rsid w:val="00485092"/>
    <w:rsid w:val="00487081"/>
    <w:rsid w:val="004A2485"/>
    <w:rsid w:val="004A28BF"/>
    <w:rsid w:val="004A35C4"/>
    <w:rsid w:val="004B3FF8"/>
    <w:rsid w:val="004B4C6E"/>
    <w:rsid w:val="004C4912"/>
    <w:rsid w:val="004D412C"/>
    <w:rsid w:val="004E5790"/>
    <w:rsid w:val="004E7499"/>
    <w:rsid w:val="005002B5"/>
    <w:rsid w:val="005031BD"/>
    <w:rsid w:val="00506D11"/>
    <w:rsid w:val="005111C5"/>
    <w:rsid w:val="005129BC"/>
    <w:rsid w:val="00521E97"/>
    <w:rsid w:val="0052533B"/>
    <w:rsid w:val="005379A6"/>
    <w:rsid w:val="00540157"/>
    <w:rsid w:val="00541073"/>
    <w:rsid w:val="00541EDF"/>
    <w:rsid w:val="005567EF"/>
    <w:rsid w:val="00571031"/>
    <w:rsid w:val="005738A7"/>
    <w:rsid w:val="00573B54"/>
    <w:rsid w:val="00583408"/>
    <w:rsid w:val="00593F7B"/>
    <w:rsid w:val="0059510B"/>
    <w:rsid w:val="00595E6E"/>
    <w:rsid w:val="00597AFF"/>
    <w:rsid w:val="005A331B"/>
    <w:rsid w:val="005A3ADC"/>
    <w:rsid w:val="005B1E16"/>
    <w:rsid w:val="005B7C89"/>
    <w:rsid w:val="005C45C1"/>
    <w:rsid w:val="005C5566"/>
    <w:rsid w:val="005C604C"/>
    <w:rsid w:val="005D18B9"/>
    <w:rsid w:val="005D6190"/>
    <w:rsid w:val="005E4802"/>
    <w:rsid w:val="005E7F39"/>
    <w:rsid w:val="005F37FF"/>
    <w:rsid w:val="005F52E2"/>
    <w:rsid w:val="005F701E"/>
    <w:rsid w:val="006009CF"/>
    <w:rsid w:val="00604234"/>
    <w:rsid w:val="00604277"/>
    <w:rsid w:val="0061565E"/>
    <w:rsid w:val="00622AA1"/>
    <w:rsid w:val="006249F6"/>
    <w:rsid w:val="006253C3"/>
    <w:rsid w:val="0062635B"/>
    <w:rsid w:val="00626F7F"/>
    <w:rsid w:val="006319E0"/>
    <w:rsid w:val="006345FD"/>
    <w:rsid w:val="00634B27"/>
    <w:rsid w:val="00635523"/>
    <w:rsid w:val="00642F33"/>
    <w:rsid w:val="006447D7"/>
    <w:rsid w:val="00646AB9"/>
    <w:rsid w:val="0065259A"/>
    <w:rsid w:val="00653275"/>
    <w:rsid w:val="00665F33"/>
    <w:rsid w:val="00671FBC"/>
    <w:rsid w:val="0067682B"/>
    <w:rsid w:val="00684249"/>
    <w:rsid w:val="00695447"/>
    <w:rsid w:val="006B19B6"/>
    <w:rsid w:val="006B2AF0"/>
    <w:rsid w:val="006B6A32"/>
    <w:rsid w:val="006C2395"/>
    <w:rsid w:val="006C2FE3"/>
    <w:rsid w:val="006E6B43"/>
    <w:rsid w:val="006F17A7"/>
    <w:rsid w:val="006F7984"/>
    <w:rsid w:val="00701C83"/>
    <w:rsid w:val="00703A52"/>
    <w:rsid w:val="00704EF9"/>
    <w:rsid w:val="00707329"/>
    <w:rsid w:val="00710096"/>
    <w:rsid w:val="007132F7"/>
    <w:rsid w:val="00724F3A"/>
    <w:rsid w:val="0072524C"/>
    <w:rsid w:val="0072570E"/>
    <w:rsid w:val="007317B9"/>
    <w:rsid w:val="007443BA"/>
    <w:rsid w:val="00747831"/>
    <w:rsid w:val="00771050"/>
    <w:rsid w:val="00776EA3"/>
    <w:rsid w:val="007803D0"/>
    <w:rsid w:val="0078130F"/>
    <w:rsid w:val="00783167"/>
    <w:rsid w:val="00786641"/>
    <w:rsid w:val="007868B9"/>
    <w:rsid w:val="00790430"/>
    <w:rsid w:val="00795A18"/>
    <w:rsid w:val="007A07F9"/>
    <w:rsid w:val="007B0458"/>
    <w:rsid w:val="007B4F50"/>
    <w:rsid w:val="007B68F5"/>
    <w:rsid w:val="007C146A"/>
    <w:rsid w:val="007C7A2B"/>
    <w:rsid w:val="007D262A"/>
    <w:rsid w:val="007D5116"/>
    <w:rsid w:val="007E1ED5"/>
    <w:rsid w:val="007E4C38"/>
    <w:rsid w:val="007E72C5"/>
    <w:rsid w:val="007E7C2A"/>
    <w:rsid w:val="007F59A8"/>
    <w:rsid w:val="00800322"/>
    <w:rsid w:val="00805893"/>
    <w:rsid w:val="00814DBF"/>
    <w:rsid w:val="00815CA9"/>
    <w:rsid w:val="00817C3C"/>
    <w:rsid w:val="008328CF"/>
    <w:rsid w:val="00842E71"/>
    <w:rsid w:val="0084329F"/>
    <w:rsid w:val="00850298"/>
    <w:rsid w:val="00850638"/>
    <w:rsid w:val="008517A3"/>
    <w:rsid w:val="008532CE"/>
    <w:rsid w:val="008608C9"/>
    <w:rsid w:val="00862768"/>
    <w:rsid w:val="00871DE1"/>
    <w:rsid w:val="00875261"/>
    <w:rsid w:val="008754BD"/>
    <w:rsid w:val="008958CC"/>
    <w:rsid w:val="00896E7F"/>
    <w:rsid w:val="00897046"/>
    <w:rsid w:val="008A2AB3"/>
    <w:rsid w:val="008A7481"/>
    <w:rsid w:val="008B15C0"/>
    <w:rsid w:val="008C208D"/>
    <w:rsid w:val="008C46FC"/>
    <w:rsid w:val="008C474C"/>
    <w:rsid w:val="008C77EB"/>
    <w:rsid w:val="008D3FAF"/>
    <w:rsid w:val="008F2710"/>
    <w:rsid w:val="008F594D"/>
    <w:rsid w:val="008F7B96"/>
    <w:rsid w:val="009001D3"/>
    <w:rsid w:val="009015BE"/>
    <w:rsid w:val="009041B2"/>
    <w:rsid w:val="009065EF"/>
    <w:rsid w:val="0091097C"/>
    <w:rsid w:val="00912AA4"/>
    <w:rsid w:val="00930507"/>
    <w:rsid w:val="00931F39"/>
    <w:rsid w:val="00932347"/>
    <w:rsid w:val="00932F91"/>
    <w:rsid w:val="00940148"/>
    <w:rsid w:val="0094747F"/>
    <w:rsid w:val="00952FE4"/>
    <w:rsid w:val="00953B58"/>
    <w:rsid w:val="00955DC9"/>
    <w:rsid w:val="00961DA6"/>
    <w:rsid w:val="00976CB4"/>
    <w:rsid w:val="00990F48"/>
    <w:rsid w:val="00991764"/>
    <w:rsid w:val="00997E8D"/>
    <w:rsid w:val="009B4976"/>
    <w:rsid w:val="009C630F"/>
    <w:rsid w:val="009D5AA8"/>
    <w:rsid w:val="009E21BC"/>
    <w:rsid w:val="009E35DD"/>
    <w:rsid w:val="009E5DD8"/>
    <w:rsid w:val="009F278A"/>
    <w:rsid w:val="009F4639"/>
    <w:rsid w:val="009F64B8"/>
    <w:rsid w:val="009F70EA"/>
    <w:rsid w:val="00A03D8D"/>
    <w:rsid w:val="00A05EC0"/>
    <w:rsid w:val="00A0679C"/>
    <w:rsid w:val="00A07B47"/>
    <w:rsid w:val="00A1003A"/>
    <w:rsid w:val="00A128BB"/>
    <w:rsid w:val="00A1583D"/>
    <w:rsid w:val="00A20AA8"/>
    <w:rsid w:val="00A22C1F"/>
    <w:rsid w:val="00A35CA1"/>
    <w:rsid w:val="00A47E40"/>
    <w:rsid w:val="00A51267"/>
    <w:rsid w:val="00A51D32"/>
    <w:rsid w:val="00A540A1"/>
    <w:rsid w:val="00A557CF"/>
    <w:rsid w:val="00A63F9E"/>
    <w:rsid w:val="00A657D2"/>
    <w:rsid w:val="00A71B0A"/>
    <w:rsid w:val="00A73E6B"/>
    <w:rsid w:val="00A81544"/>
    <w:rsid w:val="00A82F47"/>
    <w:rsid w:val="00A85AF3"/>
    <w:rsid w:val="00A8654A"/>
    <w:rsid w:val="00A92237"/>
    <w:rsid w:val="00A949E0"/>
    <w:rsid w:val="00A95914"/>
    <w:rsid w:val="00A97AA5"/>
    <w:rsid w:val="00AA34D3"/>
    <w:rsid w:val="00AA4D21"/>
    <w:rsid w:val="00AA538B"/>
    <w:rsid w:val="00AB0885"/>
    <w:rsid w:val="00AB1BAD"/>
    <w:rsid w:val="00AB3A5C"/>
    <w:rsid w:val="00AB68C7"/>
    <w:rsid w:val="00AC3EBE"/>
    <w:rsid w:val="00AD2915"/>
    <w:rsid w:val="00AD4DAE"/>
    <w:rsid w:val="00AE3CA7"/>
    <w:rsid w:val="00AE600A"/>
    <w:rsid w:val="00AE6017"/>
    <w:rsid w:val="00AF0202"/>
    <w:rsid w:val="00AF2E2F"/>
    <w:rsid w:val="00AF64E1"/>
    <w:rsid w:val="00B05253"/>
    <w:rsid w:val="00B05D32"/>
    <w:rsid w:val="00B07DD4"/>
    <w:rsid w:val="00B31EBA"/>
    <w:rsid w:val="00B37AA8"/>
    <w:rsid w:val="00B54EAB"/>
    <w:rsid w:val="00B56801"/>
    <w:rsid w:val="00B626A2"/>
    <w:rsid w:val="00B639C3"/>
    <w:rsid w:val="00B63E90"/>
    <w:rsid w:val="00B67D2C"/>
    <w:rsid w:val="00B71518"/>
    <w:rsid w:val="00B74C16"/>
    <w:rsid w:val="00B76CCF"/>
    <w:rsid w:val="00B801E3"/>
    <w:rsid w:val="00B812C3"/>
    <w:rsid w:val="00B87987"/>
    <w:rsid w:val="00B9017D"/>
    <w:rsid w:val="00B96FE8"/>
    <w:rsid w:val="00BA1CD0"/>
    <w:rsid w:val="00BA3964"/>
    <w:rsid w:val="00BA71CA"/>
    <w:rsid w:val="00BB173F"/>
    <w:rsid w:val="00BC32E5"/>
    <w:rsid w:val="00BF0A6D"/>
    <w:rsid w:val="00BF4466"/>
    <w:rsid w:val="00BF7A57"/>
    <w:rsid w:val="00C06E70"/>
    <w:rsid w:val="00C1346F"/>
    <w:rsid w:val="00C33B3E"/>
    <w:rsid w:val="00C37BB4"/>
    <w:rsid w:val="00C40D39"/>
    <w:rsid w:val="00C40FE4"/>
    <w:rsid w:val="00C47DFE"/>
    <w:rsid w:val="00C51288"/>
    <w:rsid w:val="00C51769"/>
    <w:rsid w:val="00C5571A"/>
    <w:rsid w:val="00C571AF"/>
    <w:rsid w:val="00C57C30"/>
    <w:rsid w:val="00C725E0"/>
    <w:rsid w:val="00C80836"/>
    <w:rsid w:val="00C80B6E"/>
    <w:rsid w:val="00C84294"/>
    <w:rsid w:val="00C84C76"/>
    <w:rsid w:val="00C92445"/>
    <w:rsid w:val="00CA1444"/>
    <w:rsid w:val="00CA28F6"/>
    <w:rsid w:val="00CA707E"/>
    <w:rsid w:val="00CC2BB1"/>
    <w:rsid w:val="00CD2567"/>
    <w:rsid w:val="00CD5023"/>
    <w:rsid w:val="00CD7ADD"/>
    <w:rsid w:val="00CE1F33"/>
    <w:rsid w:val="00CE28CA"/>
    <w:rsid w:val="00CE7D53"/>
    <w:rsid w:val="00CF28C5"/>
    <w:rsid w:val="00D1267D"/>
    <w:rsid w:val="00D158A6"/>
    <w:rsid w:val="00D159F4"/>
    <w:rsid w:val="00D17436"/>
    <w:rsid w:val="00D17674"/>
    <w:rsid w:val="00D2503D"/>
    <w:rsid w:val="00D2578B"/>
    <w:rsid w:val="00D30B09"/>
    <w:rsid w:val="00D44429"/>
    <w:rsid w:val="00D463A9"/>
    <w:rsid w:val="00D510C1"/>
    <w:rsid w:val="00D53B69"/>
    <w:rsid w:val="00D6247F"/>
    <w:rsid w:val="00D80E6B"/>
    <w:rsid w:val="00D82612"/>
    <w:rsid w:val="00D92171"/>
    <w:rsid w:val="00D9218B"/>
    <w:rsid w:val="00D960B0"/>
    <w:rsid w:val="00DB5251"/>
    <w:rsid w:val="00DC41E0"/>
    <w:rsid w:val="00DC4E61"/>
    <w:rsid w:val="00DD1E3B"/>
    <w:rsid w:val="00DE5361"/>
    <w:rsid w:val="00DF0073"/>
    <w:rsid w:val="00DF1943"/>
    <w:rsid w:val="00DF7D93"/>
    <w:rsid w:val="00E038D4"/>
    <w:rsid w:val="00E0391F"/>
    <w:rsid w:val="00E1314A"/>
    <w:rsid w:val="00E17A32"/>
    <w:rsid w:val="00E203F1"/>
    <w:rsid w:val="00E21F37"/>
    <w:rsid w:val="00E24D6B"/>
    <w:rsid w:val="00E2722E"/>
    <w:rsid w:val="00E323CB"/>
    <w:rsid w:val="00E36C0D"/>
    <w:rsid w:val="00E425A7"/>
    <w:rsid w:val="00E43E88"/>
    <w:rsid w:val="00E54510"/>
    <w:rsid w:val="00E55429"/>
    <w:rsid w:val="00E774BE"/>
    <w:rsid w:val="00E85E2B"/>
    <w:rsid w:val="00E946CF"/>
    <w:rsid w:val="00E957F7"/>
    <w:rsid w:val="00E96EDF"/>
    <w:rsid w:val="00EA69B7"/>
    <w:rsid w:val="00EB13B4"/>
    <w:rsid w:val="00EB427C"/>
    <w:rsid w:val="00EC5B97"/>
    <w:rsid w:val="00EE4593"/>
    <w:rsid w:val="00F02091"/>
    <w:rsid w:val="00F04464"/>
    <w:rsid w:val="00F068AE"/>
    <w:rsid w:val="00F10732"/>
    <w:rsid w:val="00F11565"/>
    <w:rsid w:val="00F1607C"/>
    <w:rsid w:val="00F174C8"/>
    <w:rsid w:val="00F207D4"/>
    <w:rsid w:val="00F26E9F"/>
    <w:rsid w:val="00F40784"/>
    <w:rsid w:val="00F418D9"/>
    <w:rsid w:val="00F478D6"/>
    <w:rsid w:val="00F5160D"/>
    <w:rsid w:val="00F6082D"/>
    <w:rsid w:val="00F63034"/>
    <w:rsid w:val="00F631EA"/>
    <w:rsid w:val="00F66D34"/>
    <w:rsid w:val="00F768EA"/>
    <w:rsid w:val="00F812A4"/>
    <w:rsid w:val="00F8745C"/>
    <w:rsid w:val="00F95B48"/>
    <w:rsid w:val="00F95D4D"/>
    <w:rsid w:val="00F9666A"/>
    <w:rsid w:val="00FA161B"/>
    <w:rsid w:val="00FA5614"/>
    <w:rsid w:val="00FB0EF3"/>
    <w:rsid w:val="00FB1FF1"/>
    <w:rsid w:val="00FB20EF"/>
    <w:rsid w:val="00FC0B8A"/>
    <w:rsid w:val="00FC2F41"/>
    <w:rsid w:val="00FD248A"/>
    <w:rsid w:val="00FD7DD6"/>
    <w:rsid w:val="00FE064C"/>
    <w:rsid w:val="00FE2622"/>
    <w:rsid w:val="00FF355B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aa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a">
    <w:name w:val="Основний текст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2">
    <w:name w:val="Заголовок №1_"/>
    <w:basedOn w:val="a0"/>
    <w:link w:val="13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b">
    <w:name w:val="Table Grid"/>
    <w:basedOn w:val="a1"/>
    <w:uiPriority w:val="5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c">
    <w:name w:val="Emphasis"/>
    <w:qFormat/>
    <w:rsid w:val="00236737"/>
    <w:rPr>
      <w:rFonts w:cs="Times New Roman"/>
      <w:i/>
    </w:rPr>
  </w:style>
  <w:style w:type="paragraph" w:customStyle="1" w:styleId="rvps12">
    <w:name w:val="rvps12"/>
    <w:basedOn w:val="a"/>
    <w:rsid w:val="00237D2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CD7ADD"/>
  </w:style>
  <w:style w:type="character" w:styleId="ad">
    <w:name w:val="FollowedHyperlink"/>
    <w:basedOn w:val="a0"/>
    <w:uiPriority w:val="99"/>
    <w:semiHidden/>
    <w:unhideWhenUsed/>
    <w:rsid w:val="00CD7ADD"/>
    <w:rPr>
      <w:color w:val="800080"/>
      <w:u w:val="single"/>
    </w:rPr>
  </w:style>
  <w:style w:type="paragraph" w:customStyle="1" w:styleId="rvps8">
    <w:name w:val="rvps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CD7ADD"/>
  </w:style>
  <w:style w:type="character" w:customStyle="1" w:styleId="rvts11">
    <w:name w:val="rvts11"/>
    <w:basedOn w:val="a0"/>
    <w:rsid w:val="00CD7ADD"/>
  </w:style>
  <w:style w:type="paragraph" w:customStyle="1" w:styleId="rvps11">
    <w:name w:val="rvps11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CD7ADD"/>
  </w:style>
  <w:style w:type="paragraph" w:customStyle="1" w:styleId="rvps13">
    <w:name w:val="rvps13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styleId="ae">
    <w:name w:val="header"/>
    <w:basedOn w:val="a"/>
    <w:link w:val="af"/>
    <w:uiPriority w:val="99"/>
    <w:semiHidden/>
    <w:unhideWhenUsed/>
    <w:rsid w:val="00817C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817C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17C3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23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96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4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7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3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DFB3-4992-4E50-93C4-1D8FFC51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3526</CharactersWithSpaces>
  <SharedDoc>false</SharedDoc>
  <HLinks>
    <vt:vector size="30" baseType="variant">
      <vt:variant>
        <vt:i4>4325441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n61</vt:lpwstr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n109</vt:lpwstr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n61</vt:lpwstr>
      </vt:variant>
      <vt:variant>
        <vt:i4>7340145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n105</vt:lpwstr>
      </vt:variant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http://zakon0.rada.gov.ua/laws/show/2269-12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17</cp:revision>
  <cp:lastPrinted>2018-03-23T14:33:00Z</cp:lastPrinted>
  <dcterms:created xsi:type="dcterms:W3CDTF">2017-11-26T18:22:00Z</dcterms:created>
  <dcterms:modified xsi:type="dcterms:W3CDTF">2018-03-23T14:33:00Z</dcterms:modified>
</cp:coreProperties>
</file>